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33" w:rsidRDefault="003C1D33" w:rsidP="003C1D33">
      <w:pPr>
        <w:pStyle w:val="a9"/>
        <w:bidi/>
        <w:rPr>
          <w:rFonts w:cs="Guttman Adii-Light" w:hint="cs"/>
          <w:sz w:val="30"/>
          <w:szCs w:val="30"/>
          <w:rtl/>
          <w:lang w:bidi="he-IL"/>
        </w:rPr>
      </w:pPr>
    </w:p>
    <w:p w:rsidR="003C1D33" w:rsidRDefault="003C1D33" w:rsidP="003C1D33">
      <w:pPr>
        <w:pStyle w:val="a9"/>
        <w:bidi/>
        <w:rPr>
          <w:rFonts w:cs="Guttman Adii-Light" w:hint="cs"/>
          <w:sz w:val="30"/>
          <w:szCs w:val="30"/>
          <w:rtl/>
          <w:lang w:bidi="he-IL"/>
        </w:rPr>
      </w:pPr>
    </w:p>
    <w:p w:rsidR="003C1D33" w:rsidRDefault="003C1D33" w:rsidP="003C1D33">
      <w:pPr>
        <w:pStyle w:val="a9"/>
        <w:bidi/>
        <w:rPr>
          <w:rFonts w:cs="Guttman Adii-Light" w:hint="cs"/>
          <w:sz w:val="30"/>
          <w:szCs w:val="30"/>
          <w:rtl/>
          <w:lang w:bidi="he-IL"/>
        </w:rPr>
      </w:pPr>
    </w:p>
    <w:p w:rsidR="003C1D33" w:rsidRPr="00981FE4" w:rsidRDefault="003C1D33" w:rsidP="003C1D33">
      <w:pPr>
        <w:pStyle w:val="a9"/>
        <w:bidi/>
        <w:rPr>
          <w:rFonts w:cs="Guttman Adii-Light" w:hint="cs"/>
          <w:sz w:val="30"/>
          <w:szCs w:val="30"/>
          <w:rtl/>
          <w:lang w:bidi="he-IL"/>
        </w:rPr>
      </w:pPr>
      <w:r w:rsidRPr="00981FE4">
        <w:rPr>
          <w:rFonts w:cs="Guttman Adii-Light" w:hint="cs"/>
          <w:sz w:val="30"/>
          <w:szCs w:val="30"/>
          <w:rtl/>
          <w:lang w:bidi="he-IL"/>
        </w:rPr>
        <w:t xml:space="preserve">חלק ד' </w:t>
      </w:r>
      <w:r w:rsidRPr="00981FE4">
        <w:rPr>
          <w:rFonts w:cs="Guttman Adii-Light"/>
          <w:sz w:val="30"/>
          <w:szCs w:val="30"/>
          <w:rtl/>
          <w:lang w:bidi="he-IL"/>
        </w:rPr>
        <w:t>–</w:t>
      </w:r>
      <w:r w:rsidRPr="00981FE4">
        <w:rPr>
          <w:rFonts w:cs="Guttman Adii-Light" w:hint="cs"/>
          <w:sz w:val="30"/>
          <w:szCs w:val="30"/>
          <w:rtl/>
          <w:lang w:bidi="he-IL"/>
        </w:rPr>
        <w:t xml:space="preserve"> מבחן משופר.</w:t>
      </w:r>
    </w:p>
    <w:p w:rsidR="003C1D33" w:rsidRDefault="003C1D33" w:rsidP="003C1D33">
      <w:pPr>
        <w:spacing w:line="480" w:lineRule="auto"/>
        <w:jc w:val="both"/>
        <w:rPr>
          <w:rFonts w:cs="David" w:hint="cs"/>
          <w:sz w:val="24"/>
          <w:szCs w:val="24"/>
          <w:rtl/>
        </w:rPr>
      </w:pPr>
      <w:r>
        <w:rPr>
          <w:rFonts w:cs="David" w:hint="cs"/>
          <w:sz w:val="24"/>
          <w:szCs w:val="24"/>
          <w:rtl/>
        </w:rPr>
        <w:t>מבחן ליחידת ההתמדה:</w:t>
      </w:r>
    </w:p>
    <w:p w:rsidR="003C1D33" w:rsidRDefault="003C1D33" w:rsidP="003C1D33">
      <w:pPr>
        <w:spacing w:line="480" w:lineRule="auto"/>
        <w:jc w:val="both"/>
        <w:rPr>
          <w:rFonts w:cs="David" w:hint="cs"/>
          <w:sz w:val="24"/>
          <w:szCs w:val="24"/>
          <w:rtl/>
        </w:rPr>
      </w:pPr>
      <w:r>
        <w:rPr>
          <w:rFonts w:cs="David" w:hint="cs"/>
          <w:sz w:val="24"/>
          <w:szCs w:val="24"/>
          <w:rtl/>
        </w:rPr>
        <w:t>כמובן שהשאלות אותם אני מחבר ליחידה זו הן חלק ממבחן שיהיה כולל כמה יחידות. ראו שאלות אלה כחלק של מבחן גדול.</w:t>
      </w:r>
    </w:p>
    <w:p w:rsidR="003C1D33" w:rsidRDefault="003C1D33" w:rsidP="003C1D33">
      <w:pPr>
        <w:spacing w:line="480" w:lineRule="auto"/>
        <w:jc w:val="both"/>
        <w:rPr>
          <w:rFonts w:cs="David" w:hint="cs"/>
          <w:sz w:val="24"/>
          <w:szCs w:val="24"/>
          <w:rtl/>
        </w:rPr>
      </w:pPr>
    </w:p>
    <w:p w:rsidR="003C1D33" w:rsidRPr="00981FE4" w:rsidRDefault="003C1D33" w:rsidP="003C1D33">
      <w:pPr>
        <w:pStyle w:val="a9"/>
        <w:bidi/>
        <w:rPr>
          <w:rFonts w:cs="Guttman Adii-Light" w:hint="cs"/>
          <w:b/>
          <w:bCs/>
          <w:sz w:val="24"/>
          <w:szCs w:val="24"/>
          <w:rtl/>
          <w:lang w:bidi="he-IL"/>
        </w:rPr>
      </w:pPr>
      <w:r w:rsidRPr="00981FE4">
        <w:rPr>
          <w:rFonts w:cs="Guttman Adii-Light" w:hint="cs"/>
          <w:b/>
          <w:bCs/>
          <w:sz w:val="24"/>
          <w:szCs w:val="24"/>
          <w:rtl/>
          <w:lang w:bidi="he-IL"/>
        </w:rPr>
        <w:t>שאלות.</w:t>
      </w:r>
    </w:p>
    <w:p w:rsidR="003C1D33" w:rsidRDefault="003C1D33" w:rsidP="003C1D33">
      <w:pPr>
        <w:numPr>
          <w:ilvl w:val="0"/>
          <w:numId w:val="2"/>
        </w:numPr>
        <w:spacing w:after="200" w:line="480" w:lineRule="auto"/>
        <w:jc w:val="both"/>
        <w:rPr>
          <w:rFonts w:cs="David" w:hint="cs"/>
          <w:sz w:val="24"/>
          <w:szCs w:val="24"/>
        </w:rPr>
      </w:pPr>
      <w:r>
        <w:rPr>
          <w:rFonts w:cs="David" w:hint="cs"/>
          <w:sz w:val="24"/>
          <w:szCs w:val="24"/>
          <w:rtl/>
        </w:rPr>
        <w:t xml:space="preserve">מה היא הדרך אותה מלמד אותנו המדרש </w:t>
      </w:r>
      <w:proofErr w:type="spellStart"/>
      <w:r>
        <w:rPr>
          <w:rFonts w:cs="David" w:hint="cs"/>
          <w:sz w:val="24"/>
          <w:szCs w:val="24"/>
          <w:rtl/>
        </w:rPr>
        <w:t>בשיה"ש</w:t>
      </w:r>
      <w:proofErr w:type="spellEnd"/>
      <w:r>
        <w:rPr>
          <w:rFonts w:cs="David" w:hint="cs"/>
          <w:sz w:val="24"/>
          <w:szCs w:val="24"/>
          <w:rtl/>
        </w:rPr>
        <w:t xml:space="preserve"> להתמודדות עם משימה גדולה שעומדת בפנינו?</w:t>
      </w:r>
    </w:p>
    <w:p w:rsidR="003C1D33" w:rsidRDefault="003C1D33" w:rsidP="003C1D33">
      <w:pPr>
        <w:numPr>
          <w:ilvl w:val="0"/>
          <w:numId w:val="2"/>
        </w:numPr>
        <w:spacing w:after="200" w:line="480" w:lineRule="auto"/>
        <w:jc w:val="both"/>
        <w:rPr>
          <w:rFonts w:cs="David" w:hint="cs"/>
          <w:sz w:val="24"/>
          <w:szCs w:val="24"/>
        </w:rPr>
      </w:pPr>
      <w:r>
        <w:rPr>
          <w:rFonts w:cs="David" w:hint="cs"/>
          <w:sz w:val="24"/>
          <w:szCs w:val="24"/>
          <w:rtl/>
        </w:rPr>
        <w:t xml:space="preserve">ר' נחמן מדבר אף הוא על הדרך להתמודד עם משימה גדולה העומדת לפנינו. האם דבריו תואמים יותר את סיפורו של ר"ע או את דברי המדרש </w:t>
      </w:r>
      <w:proofErr w:type="spellStart"/>
      <w:r>
        <w:rPr>
          <w:rFonts w:cs="David" w:hint="cs"/>
          <w:sz w:val="24"/>
          <w:szCs w:val="24"/>
          <w:rtl/>
        </w:rPr>
        <w:t>בשיה"ש</w:t>
      </w:r>
      <w:proofErr w:type="spellEnd"/>
      <w:r>
        <w:rPr>
          <w:rFonts w:cs="David" w:hint="cs"/>
          <w:sz w:val="24"/>
          <w:szCs w:val="24"/>
          <w:rtl/>
        </w:rPr>
        <w:t>? נמק!</w:t>
      </w:r>
    </w:p>
    <w:p w:rsidR="003C1D33" w:rsidRDefault="003C1D33" w:rsidP="003C1D33">
      <w:pPr>
        <w:numPr>
          <w:ilvl w:val="0"/>
          <w:numId w:val="2"/>
        </w:numPr>
        <w:autoSpaceDE w:val="0"/>
        <w:autoSpaceDN w:val="0"/>
        <w:adjustRightInd w:val="0"/>
        <w:spacing w:after="200" w:line="276" w:lineRule="auto"/>
        <w:jc w:val="both"/>
        <w:rPr>
          <w:rFonts w:ascii="ResponsaTTF" w:cs="David" w:hint="cs"/>
          <w:b/>
          <w:bCs/>
          <w:u w:val="single"/>
        </w:rPr>
      </w:pPr>
      <w:r>
        <w:rPr>
          <w:rFonts w:ascii="ResponsaTTF" w:cs="David"/>
          <w:b/>
          <w:bCs/>
          <w:noProof/>
          <w:u w:val="single"/>
          <w:rtl/>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266065</wp:posOffset>
                </wp:positionV>
                <wp:extent cx="4693920" cy="1880870"/>
                <wp:effectExtent l="32385" t="31115" r="36195" b="3111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880870"/>
                        </a:xfrm>
                        <a:prstGeom prst="rect">
                          <a:avLst/>
                        </a:prstGeom>
                        <a:solidFill>
                          <a:srgbClr val="FFFFFF"/>
                        </a:solidFill>
                        <a:ln w="57150">
                          <a:pattFill prst="weave">
                            <a:fgClr>
                              <a:srgbClr val="000000"/>
                            </a:fgClr>
                            <a:bgClr>
                              <a:srgbClr val="FFFFFF"/>
                            </a:bgClr>
                          </a:pattFill>
                          <a:miter lim="800000"/>
                          <a:headEnd/>
                          <a:tailEnd/>
                        </a:ln>
                      </wps:spPr>
                      <wps:txbx>
                        <w:txbxContent>
                          <w:p w:rsidR="003C1D33" w:rsidRPr="007F1A90" w:rsidRDefault="003C1D33" w:rsidP="003C1D33">
                            <w:pPr>
                              <w:autoSpaceDE w:val="0"/>
                              <w:autoSpaceDN w:val="0"/>
                              <w:adjustRightInd w:val="0"/>
                              <w:spacing w:line="480" w:lineRule="auto"/>
                              <w:jc w:val="both"/>
                              <w:rPr>
                                <w:rFonts w:cs="David" w:hint="cs"/>
                                <w:sz w:val="24"/>
                                <w:szCs w:val="24"/>
                                <w:rtl/>
                              </w:rPr>
                            </w:pPr>
                            <w:r>
                              <w:rPr>
                                <w:rFonts w:ascii="ResponsaTTF" w:cs="David" w:hint="cs"/>
                                <w:sz w:val="24"/>
                                <w:szCs w:val="24"/>
                                <w:rtl/>
                              </w:rPr>
                              <w:t>"</w:t>
                            </w:r>
                            <w:r w:rsidRPr="00B51BDE">
                              <w:rPr>
                                <w:rFonts w:ascii="ResponsaTTF" w:cs="David"/>
                                <w:sz w:val="24"/>
                                <w:szCs w:val="24"/>
                                <w:rtl/>
                              </w:rPr>
                              <w:t xml:space="preserve">ההופכי הצור אגם מים, מלמד שהיו ר' עקיבא ובן </w:t>
                            </w:r>
                            <w:proofErr w:type="spellStart"/>
                            <w:r w:rsidRPr="00B51BDE">
                              <w:rPr>
                                <w:rFonts w:ascii="ResponsaTTF" w:cs="David"/>
                                <w:sz w:val="24"/>
                                <w:szCs w:val="24"/>
                                <w:rtl/>
                              </w:rPr>
                              <w:t>עזאי</w:t>
                            </w:r>
                            <w:proofErr w:type="spellEnd"/>
                            <w:r w:rsidRPr="00B51BDE">
                              <w:rPr>
                                <w:rFonts w:ascii="ResponsaTTF" w:cs="David"/>
                                <w:sz w:val="24"/>
                                <w:szCs w:val="24"/>
                                <w:rtl/>
                              </w:rPr>
                              <w:t xml:space="preserve"> טרשים</w:t>
                            </w:r>
                            <w:r>
                              <w:rPr>
                                <w:rFonts w:ascii="ResponsaTTF" w:cs="David" w:hint="cs"/>
                                <w:sz w:val="24"/>
                                <w:szCs w:val="24"/>
                                <w:rtl/>
                              </w:rPr>
                              <w:t xml:space="preserve"> (טיפשים ואטומים)</w:t>
                            </w:r>
                            <w:r w:rsidRPr="00B51BDE">
                              <w:rPr>
                                <w:rFonts w:ascii="ResponsaTTF" w:cs="David"/>
                                <w:sz w:val="24"/>
                                <w:szCs w:val="24"/>
                                <w:rtl/>
                              </w:rPr>
                              <w:t xml:space="preserve"> כצור הזה, ועל ידי שציערו עצמן על תלמוד תורה פתח להם הקב"ה פתח לתורה, ודברים שאין יכול לעמוד בהם בית שמאי ובית הלל לאיסור והיתר עמד בן </w:t>
                            </w:r>
                            <w:proofErr w:type="spellStart"/>
                            <w:r w:rsidRPr="00B51BDE">
                              <w:rPr>
                                <w:rFonts w:ascii="ResponsaTTF" w:cs="David"/>
                                <w:sz w:val="24"/>
                                <w:szCs w:val="24"/>
                                <w:rtl/>
                              </w:rPr>
                              <w:t>עזאי</w:t>
                            </w:r>
                            <w:proofErr w:type="spellEnd"/>
                            <w:r w:rsidRPr="00B51BDE">
                              <w:rPr>
                                <w:rFonts w:ascii="ResponsaTTF" w:cs="David"/>
                                <w:sz w:val="24"/>
                                <w:szCs w:val="24"/>
                                <w:rtl/>
                              </w:rPr>
                              <w:t xml:space="preserve"> ופירשם</w:t>
                            </w:r>
                            <w:r>
                              <w:rPr>
                                <w:rFonts w:ascii="ResponsaTTF" w:cs="David" w:hint="cs"/>
                                <w:sz w:val="24"/>
                                <w:szCs w:val="24"/>
                                <w:rtl/>
                              </w:rPr>
                              <w:t>...</w:t>
                            </w:r>
                            <w:r w:rsidRPr="00B51BDE">
                              <w:rPr>
                                <w:rFonts w:ascii="ResponsaTTF" w:cs="David"/>
                                <w:sz w:val="24"/>
                                <w:szCs w:val="24"/>
                                <w:rtl/>
                              </w:rPr>
                              <w:t xml:space="preserve"> ודברים שהיו סתומים בעולם עמד ר"ע ופירשם</w:t>
                            </w:r>
                            <w:r>
                              <w:rPr>
                                <w:rFonts w:ascii="ResponsaTTF" w:cs="David" w:hint="cs"/>
                                <w:sz w:val="24"/>
                                <w:szCs w:val="24"/>
                                <w:rtl/>
                              </w:rPr>
                              <w:t>...</w:t>
                            </w:r>
                            <w:r w:rsidRPr="00B51BDE">
                              <w:rPr>
                                <w:rFonts w:ascii="ResponsaTTF" w:cs="David"/>
                                <w:sz w:val="24"/>
                                <w:szCs w:val="24"/>
                                <w:rtl/>
                              </w:rPr>
                              <w:t xml:space="preserve"> מלמד שראתה עינו של ר"ע במרכבה כדרך שראתה עינו של יחזקאל הנביא, לכך נאמר </w:t>
                            </w:r>
                            <w:r w:rsidRPr="000B6629">
                              <w:rPr>
                                <w:rFonts w:ascii="ResponsaTTF" w:cs="David"/>
                                <w:b/>
                                <w:bCs/>
                                <w:sz w:val="24"/>
                                <w:szCs w:val="24"/>
                                <w:rtl/>
                              </w:rPr>
                              <w:t>ההופכי</w:t>
                            </w:r>
                            <w:r w:rsidRPr="00B51BDE">
                              <w:rPr>
                                <w:rFonts w:ascii="ResponsaTTF" w:cs="David"/>
                                <w:sz w:val="24"/>
                                <w:szCs w:val="24"/>
                                <w:rtl/>
                              </w:rPr>
                              <w:t xml:space="preserve"> הצור אגם מים</w:t>
                            </w:r>
                            <w:r>
                              <w:rPr>
                                <w:rFonts w:ascii="ResponsaTTF" w:cs="David" w:hint="cs"/>
                                <w:sz w:val="24"/>
                                <w:szCs w:val="24"/>
                                <w:rtl/>
                              </w:rPr>
                              <w:t>"</w:t>
                            </w:r>
                            <w:r w:rsidRPr="00B51BDE">
                              <w:rPr>
                                <w:rFonts w:ascii="ResponsaTTF" w:cs="David"/>
                                <w:sz w:val="24"/>
                                <w:szCs w:val="24"/>
                                <w:rtl/>
                              </w:rPr>
                              <w:t>.</w:t>
                            </w:r>
                            <w:r w:rsidRPr="00B51BDE">
                              <w:rPr>
                                <w:rFonts w:ascii="ResponsaTTF" w:cs="David"/>
                                <w:b/>
                                <w:bCs/>
                                <w:sz w:val="24"/>
                                <w:szCs w:val="24"/>
                                <w:rtl/>
                              </w:rPr>
                              <w:t xml:space="preserve"> </w:t>
                            </w:r>
                            <w:r>
                              <w:rPr>
                                <w:rFonts w:ascii="ResponsaTTF" w:cs="David"/>
                                <w:b/>
                                <w:bCs/>
                                <w:sz w:val="24"/>
                                <w:szCs w:val="24"/>
                                <w:rtl/>
                              </w:rPr>
                              <w:t>(</w:t>
                            </w:r>
                            <w:r w:rsidRPr="00B51BDE">
                              <w:rPr>
                                <w:rFonts w:ascii="ResponsaTTF" w:cs="David"/>
                                <w:b/>
                                <w:bCs/>
                                <w:sz w:val="24"/>
                                <w:szCs w:val="24"/>
                                <w:rtl/>
                              </w:rPr>
                              <w:t xml:space="preserve">אוצר המדרשים עמוד 131 </w:t>
                            </w:r>
                            <w:r w:rsidRPr="007F1A90">
                              <w:rPr>
                                <w:rFonts w:cs="David"/>
                                <w:b/>
                                <w:bCs/>
                                <w:sz w:val="24"/>
                                <w:szCs w:val="24"/>
                              </w:rPr>
                              <w:t>(</w:t>
                            </w:r>
                          </w:p>
                          <w:p w:rsidR="003C1D33" w:rsidRDefault="003C1D33" w:rsidP="003C1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1pt;margin-top:20.95pt;width:369.6pt;height:1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" strokeweight="4.5pt">
                <v:stroke r:id="rId8" o:title="" filltype="pattern"/>
                <v:textbox>
                  <w:txbxContent>
                    <w:p w:rsidR="003C1D33" w:rsidRPr="007F1A90" w:rsidRDefault="003C1D33" w:rsidP="003C1D33">
                      <w:pPr>
                        <w:autoSpaceDE w:val="0"/>
                        <w:autoSpaceDN w:val="0"/>
                        <w:adjustRightInd w:val="0"/>
                        <w:spacing w:line="480" w:lineRule="auto"/>
                        <w:jc w:val="both"/>
                        <w:rPr>
                          <w:rFonts w:cs="David" w:hint="cs"/>
                          <w:sz w:val="24"/>
                          <w:szCs w:val="24"/>
                          <w:rtl/>
                        </w:rPr>
                      </w:pPr>
                      <w:r>
                        <w:rPr>
                          <w:rFonts w:ascii="ResponsaTTF" w:cs="David" w:hint="cs"/>
                          <w:sz w:val="24"/>
                          <w:szCs w:val="24"/>
                          <w:rtl/>
                        </w:rPr>
                        <w:t>"</w:t>
                      </w:r>
                      <w:r w:rsidRPr="00B51BDE">
                        <w:rPr>
                          <w:rFonts w:ascii="ResponsaTTF" w:cs="David"/>
                          <w:sz w:val="24"/>
                          <w:szCs w:val="24"/>
                          <w:rtl/>
                        </w:rPr>
                        <w:t xml:space="preserve">ההופכי הצור אגם מים, מלמד שהיו ר' עקיבא ובן </w:t>
                      </w:r>
                      <w:proofErr w:type="spellStart"/>
                      <w:r w:rsidRPr="00B51BDE">
                        <w:rPr>
                          <w:rFonts w:ascii="ResponsaTTF" w:cs="David"/>
                          <w:sz w:val="24"/>
                          <w:szCs w:val="24"/>
                          <w:rtl/>
                        </w:rPr>
                        <w:t>עזאי</w:t>
                      </w:r>
                      <w:proofErr w:type="spellEnd"/>
                      <w:r w:rsidRPr="00B51BDE">
                        <w:rPr>
                          <w:rFonts w:ascii="ResponsaTTF" w:cs="David"/>
                          <w:sz w:val="24"/>
                          <w:szCs w:val="24"/>
                          <w:rtl/>
                        </w:rPr>
                        <w:t xml:space="preserve"> טרשים</w:t>
                      </w:r>
                      <w:r>
                        <w:rPr>
                          <w:rFonts w:ascii="ResponsaTTF" w:cs="David" w:hint="cs"/>
                          <w:sz w:val="24"/>
                          <w:szCs w:val="24"/>
                          <w:rtl/>
                        </w:rPr>
                        <w:t xml:space="preserve"> (טיפשים ואטומים)</w:t>
                      </w:r>
                      <w:r w:rsidRPr="00B51BDE">
                        <w:rPr>
                          <w:rFonts w:ascii="ResponsaTTF" w:cs="David"/>
                          <w:sz w:val="24"/>
                          <w:szCs w:val="24"/>
                          <w:rtl/>
                        </w:rPr>
                        <w:t xml:space="preserve"> כצור הזה, ועל ידי שציערו עצמן על תלמוד תורה פתח להם הקב"ה פתח לתורה, ודברים שאין יכול לעמוד בהם בית שמאי ובית הלל לאיסור והיתר עמד בן </w:t>
                      </w:r>
                      <w:proofErr w:type="spellStart"/>
                      <w:r w:rsidRPr="00B51BDE">
                        <w:rPr>
                          <w:rFonts w:ascii="ResponsaTTF" w:cs="David"/>
                          <w:sz w:val="24"/>
                          <w:szCs w:val="24"/>
                          <w:rtl/>
                        </w:rPr>
                        <w:t>עזאי</w:t>
                      </w:r>
                      <w:proofErr w:type="spellEnd"/>
                      <w:r w:rsidRPr="00B51BDE">
                        <w:rPr>
                          <w:rFonts w:ascii="ResponsaTTF" w:cs="David"/>
                          <w:sz w:val="24"/>
                          <w:szCs w:val="24"/>
                          <w:rtl/>
                        </w:rPr>
                        <w:t xml:space="preserve"> ופירשם</w:t>
                      </w:r>
                      <w:r>
                        <w:rPr>
                          <w:rFonts w:ascii="ResponsaTTF" w:cs="David" w:hint="cs"/>
                          <w:sz w:val="24"/>
                          <w:szCs w:val="24"/>
                          <w:rtl/>
                        </w:rPr>
                        <w:t>...</w:t>
                      </w:r>
                      <w:r w:rsidRPr="00B51BDE">
                        <w:rPr>
                          <w:rFonts w:ascii="ResponsaTTF" w:cs="David"/>
                          <w:sz w:val="24"/>
                          <w:szCs w:val="24"/>
                          <w:rtl/>
                        </w:rPr>
                        <w:t xml:space="preserve"> ודברים שהיו סתומים בעולם עמד ר"ע ופירשם</w:t>
                      </w:r>
                      <w:r>
                        <w:rPr>
                          <w:rFonts w:ascii="ResponsaTTF" w:cs="David" w:hint="cs"/>
                          <w:sz w:val="24"/>
                          <w:szCs w:val="24"/>
                          <w:rtl/>
                        </w:rPr>
                        <w:t>...</w:t>
                      </w:r>
                      <w:r w:rsidRPr="00B51BDE">
                        <w:rPr>
                          <w:rFonts w:ascii="ResponsaTTF" w:cs="David"/>
                          <w:sz w:val="24"/>
                          <w:szCs w:val="24"/>
                          <w:rtl/>
                        </w:rPr>
                        <w:t xml:space="preserve"> מלמד שראתה עינו של ר"ע במרכבה כדרך שראתה עינו של יחזקאל הנביא, לכך נאמר </w:t>
                      </w:r>
                      <w:r w:rsidRPr="000B6629">
                        <w:rPr>
                          <w:rFonts w:ascii="ResponsaTTF" w:cs="David"/>
                          <w:b/>
                          <w:bCs/>
                          <w:sz w:val="24"/>
                          <w:szCs w:val="24"/>
                          <w:rtl/>
                        </w:rPr>
                        <w:t>ההופכי</w:t>
                      </w:r>
                      <w:r w:rsidRPr="00B51BDE">
                        <w:rPr>
                          <w:rFonts w:ascii="ResponsaTTF" w:cs="David"/>
                          <w:sz w:val="24"/>
                          <w:szCs w:val="24"/>
                          <w:rtl/>
                        </w:rPr>
                        <w:t xml:space="preserve"> הצור אגם מים</w:t>
                      </w:r>
                      <w:r>
                        <w:rPr>
                          <w:rFonts w:ascii="ResponsaTTF" w:cs="David" w:hint="cs"/>
                          <w:sz w:val="24"/>
                          <w:szCs w:val="24"/>
                          <w:rtl/>
                        </w:rPr>
                        <w:t>"</w:t>
                      </w:r>
                      <w:r w:rsidRPr="00B51BDE">
                        <w:rPr>
                          <w:rFonts w:ascii="ResponsaTTF" w:cs="David"/>
                          <w:sz w:val="24"/>
                          <w:szCs w:val="24"/>
                          <w:rtl/>
                        </w:rPr>
                        <w:t>.</w:t>
                      </w:r>
                      <w:r w:rsidRPr="00B51BDE">
                        <w:rPr>
                          <w:rFonts w:ascii="ResponsaTTF" w:cs="David"/>
                          <w:b/>
                          <w:bCs/>
                          <w:sz w:val="24"/>
                          <w:szCs w:val="24"/>
                          <w:rtl/>
                        </w:rPr>
                        <w:t xml:space="preserve"> </w:t>
                      </w:r>
                      <w:r>
                        <w:rPr>
                          <w:rFonts w:ascii="ResponsaTTF" w:cs="David"/>
                          <w:b/>
                          <w:bCs/>
                          <w:sz w:val="24"/>
                          <w:szCs w:val="24"/>
                          <w:rtl/>
                        </w:rPr>
                        <w:t>(</w:t>
                      </w:r>
                      <w:r w:rsidRPr="00B51BDE">
                        <w:rPr>
                          <w:rFonts w:ascii="ResponsaTTF" w:cs="David"/>
                          <w:b/>
                          <w:bCs/>
                          <w:sz w:val="24"/>
                          <w:szCs w:val="24"/>
                          <w:rtl/>
                        </w:rPr>
                        <w:t xml:space="preserve">אוצר המדרשים עמוד 131 </w:t>
                      </w:r>
                      <w:r w:rsidRPr="007F1A90">
                        <w:rPr>
                          <w:rFonts w:cs="David"/>
                          <w:b/>
                          <w:bCs/>
                          <w:sz w:val="24"/>
                          <w:szCs w:val="24"/>
                        </w:rPr>
                        <w:t>(</w:t>
                      </w:r>
                    </w:p>
                    <w:p w:rsidR="003C1D33" w:rsidRDefault="003C1D33" w:rsidP="003C1D33"/>
                  </w:txbxContent>
                </v:textbox>
              </v:shape>
            </w:pict>
          </mc:Fallback>
        </mc:AlternateContent>
      </w:r>
      <w:r>
        <w:rPr>
          <w:rFonts w:cs="David" w:hint="cs"/>
          <w:sz w:val="24"/>
          <w:szCs w:val="24"/>
          <w:rtl/>
        </w:rPr>
        <w:t>לפניך מדרש שלא למדנו, למד אותו וענה על השאלה שאחריו:</w:t>
      </w:r>
      <w:r w:rsidRPr="00B51BDE">
        <w:rPr>
          <w:rFonts w:ascii="ResponsaTTF" w:cs="David" w:hint="eastAsia"/>
          <w:b/>
          <w:bCs/>
          <w:u w:val="single"/>
          <w:rtl/>
        </w:rPr>
        <w:t xml:space="preserve"> </w:t>
      </w:r>
    </w:p>
    <w:p w:rsidR="003C1D33" w:rsidRPr="007F1A90" w:rsidRDefault="003C1D33" w:rsidP="003C1D33">
      <w:pPr>
        <w:autoSpaceDE w:val="0"/>
        <w:autoSpaceDN w:val="0"/>
        <w:adjustRightInd w:val="0"/>
        <w:spacing w:line="480" w:lineRule="auto"/>
        <w:ind w:left="720"/>
        <w:jc w:val="both"/>
        <w:rPr>
          <w:rFonts w:cs="David" w:hint="cs"/>
          <w:sz w:val="24"/>
          <w:szCs w:val="24"/>
        </w:rPr>
      </w:pPr>
    </w:p>
    <w:p w:rsidR="003C1D33" w:rsidRPr="007F1A90" w:rsidRDefault="003C1D33" w:rsidP="003C1D33">
      <w:pPr>
        <w:autoSpaceDE w:val="0"/>
        <w:autoSpaceDN w:val="0"/>
        <w:adjustRightInd w:val="0"/>
        <w:spacing w:line="480" w:lineRule="auto"/>
        <w:ind w:left="720"/>
        <w:jc w:val="both"/>
        <w:rPr>
          <w:rFonts w:cs="David" w:hint="cs"/>
          <w:sz w:val="24"/>
          <w:szCs w:val="24"/>
        </w:rPr>
      </w:pPr>
    </w:p>
    <w:p w:rsidR="003C1D33" w:rsidRDefault="003C1D33" w:rsidP="003C1D33">
      <w:pPr>
        <w:autoSpaceDE w:val="0"/>
        <w:autoSpaceDN w:val="0"/>
        <w:adjustRightInd w:val="0"/>
        <w:spacing w:line="480" w:lineRule="auto"/>
        <w:ind w:left="720"/>
        <w:jc w:val="both"/>
        <w:rPr>
          <w:rFonts w:cs="David" w:hint="cs"/>
          <w:sz w:val="24"/>
          <w:szCs w:val="24"/>
        </w:rPr>
      </w:pPr>
    </w:p>
    <w:p w:rsidR="003C1D33" w:rsidRDefault="003C1D33" w:rsidP="003C1D33">
      <w:pPr>
        <w:autoSpaceDE w:val="0"/>
        <w:autoSpaceDN w:val="0"/>
        <w:adjustRightInd w:val="0"/>
        <w:spacing w:line="480" w:lineRule="auto"/>
        <w:ind w:left="720"/>
        <w:jc w:val="both"/>
        <w:rPr>
          <w:rFonts w:cs="David" w:hint="cs"/>
          <w:sz w:val="24"/>
          <w:szCs w:val="24"/>
        </w:rPr>
      </w:pPr>
    </w:p>
    <w:p w:rsidR="003C1D33" w:rsidRDefault="003C1D33" w:rsidP="003C1D33">
      <w:pPr>
        <w:numPr>
          <w:ilvl w:val="0"/>
          <w:numId w:val="1"/>
        </w:numPr>
        <w:autoSpaceDE w:val="0"/>
        <w:autoSpaceDN w:val="0"/>
        <w:adjustRightInd w:val="0"/>
        <w:spacing w:after="200" w:line="480" w:lineRule="auto"/>
        <w:jc w:val="both"/>
        <w:rPr>
          <w:rFonts w:cs="David" w:hint="cs"/>
          <w:sz w:val="24"/>
          <w:szCs w:val="24"/>
        </w:rPr>
      </w:pPr>
      <w:r>
        <w:rPr>
          <w:rFonts w:cs="David" w:hint="cs"/>
          <w:sz w:val="24"/>
          <w:szCs w:val="24"/>
          <w:rtl/>
        </w:rPr>
        <w:t>האם לפי המדרש ר"ע היה עם הארץ רק כי לא למד עד אז תורה? נמק!</w:t>
      </w:r>
    </w:p>
    <w:p w:rsidR="003C1D33" w:rsidRPr="00B51BDE" w:rsidRDefault="003C1D33" w:rsidP="003C1D33">
      <w:pPr>
        <w:numPr>
          <w:ilvl w:val="0"/>
          <w:numId w:val="1"/>
        </w:numPr>
        <w:autoSpaceDE w:val="0"/>
        <w:autoSpaceDN w:val="0"/>
        <w:adjustRightInd w:val="0"/>
        <w:spacing w:after="200" w:line="480" w:lineRule="auto"/>
        <w:jc w:val="both"/>
        <w:rPr>
          <w:rFonts w:cs="David"/>
          <w:sz w:val="24"/>
          <w:szCs w:val="24"/>
        </w:rPr>
      </w:pPr>
      <w:r>
        <w:rPr>
          <w:rFonts w:cs="David" w:hint="cs"/>
          <w:sz w:val="24"/>
          <w:szCs w:val="24"/>
          <w:rtl/>
        </w:rPr>
        <w:t xml:space="preserve">האם הדרך שהמדרש מלמדנו על מה שקרה </w:t>
      </w:r>
      <w:proofErr w:type="spellStart"/>
      <w:r>
        <w:rPr>
          <w:rFonts w:cs="David" w:hint="cs"/>
          <w:sz w:val="24"/>
          <w:szCs w:val="24"/>
          <w:rtl/>
        </w:rPr>
        <w:t>לר"ע</w:t>
      </w:r>
      <w:proofErr w:type="spellEnd"/>
      <w:r>
        <w:rPr>
          <w:rFonts w:cs="David" w:hint="cs"/>
          <w:sz w:val="24"/>
          <w:szCs w:val="24"/>
          <w:rtl/>
        </w:rPr>
        <w:t xml:space="preserve"> תואם יותר את הסיפור שהבאנו על ר"ע והבאר או את המדרש </w:t>
      </w:r>
      <w:proofErr w:type="spellStart"/>
      <w:r>
        <w:rPr>
          <w:rFonts w:cs="David" w:hint="cs"/>
          <w:sz w:val="24"/>
          <w:szCs w:val="24"/>
          <w:rtl/>
        </w:rPr>
        <w:t>בשיה"ש</w:t>
      </w:r>
      <w:proofErr w:type="spellEnd"/>
      <w:r>
        <w:rPr>
          <w:rFonts w:cs="David" w:hint="cs"/>
          <w:sz w:val="24"/>
          <w:szCs w:val="24"/>
          <w:rtl/>
        </w:rPr>
        <w:t>? נמק!</w:t>
      </w:r>
    </w:p>
    <w:p w:rsidR="003C1D33" w:rsidRDefault="003C1D33" w:rsidP="003C1D33">
      <w:pPr>
        <w:pStyle w:val="a9"/>
        <w:bidi/>
        <w:rPr>
          <w:rFonts w:cs="Guttman Adii-Light" w:hint="cs"/>
          <w:b/>
          <w:bCs/>
          <w:sz w:val="24"/>
          <w:szCs w:val="24"/>
          <w:rtl/>
          <w:lang w:bidi="he-IL"/>
        </w:rPr>
      </w:pPr>
    </w:p>
    <w:p w:rsidR="003C1D33" w:rsidRDefault="003C1D33" w:rsidP="003C1D33">
      <w:pPr>
        <w:pStyle w:val="a9"/>
        <w:bidi/>
        <w:rPr>
          <w:rFonts w:cs="Guttman Adii-Light" w:hint="cs"/>
          <w:b/>
          <w:bCs/>
          <w:sz w:val="24"/>
          <w:szCs w:val="24"/>
          <w:rtl/>
          <w:lang w:bidi="he-IL"/>
        </w:rPr>
      </w:pPr>
    </w:p>
    <w:p w:rsidR="003C1D33" w:rsidRDefault="003C1D33" w:rsidP="003C1D33">
      <w:pPr>
        <w:pStyle w:val="a9"/>
        <w:bidi/>
        <w:rPr>
          <w:rFonts w:cs="Guttman Adii-Light" w:hint="cs"/>
          <w:b/>
          <w:bCs/>
          <w:sz w:val="24"/>
          <w:szCs w:val="24"/>
          <w:rtl/>
          <w:lang w:bidi="he-IL"/>
        </w:rPr>
      </w:pPr>
    </w:p>
    <w:p w:rsidR="003C1D33" w:rsidRDefault="003C1D33" w:rsidP="003C1D33">
      <w:pPr>
        <w:pStyle w:val="a9"/>
        <w:bidi/>
        <w:rPr>
          <w:rFonts w:cs="Guttman Adii-Light" w:hint="cs"/>
          <w:b/>
          <w:bCs/>
          <w:sz w:val="24"/>
          <w:szCs w:val="24"/>
          <w:rtl/>
          <w:lang w:bidi="he-IL"/>
        </w:rPr>
      </w:pPr>
    </w:p>
    <w:p w:rsidR="003C1D33" w:rsidRDefault="003C1D33" w:rsidP="003C1D33">
      <w:pPr>
        <w:pStyle w:val="a9"/>
        <w:bidi/>
        <w:rPr>
          <w:rFonts w:cs="Guttman Adii-Light" w:hint="cs"/>
          <w:b/>
          <w:bCs/>
          <w:sz w:val="24"/>
          <w:szCs w:val="24"/>
          <w:rtl/>
          <w:lang w:bidi="he-IL"/>
        </w:rPr>
      </w:pPr>
      <w:r>
        <w:rPr>
          <w:rFonts w:cs="Guttman Adii-Light" w:hint="cs"/>
          <w:b/>
          <w:bCs/>
          <w:sz w:val="24"/>
          <w:szCs w:val="24"/>
          <w:rtl/>
          <w:lang w:bidi="he-IL"/>
        </w:rPr>
        <w:t>תשובון:</w:t>
      </w:r>
    </w:p>
    <w:p w:rsidR="003C1D33" w:rsidRPr="003C1D33" w:rsidRDefault="003C1D33" w:rsidP="003C1D33">
      <w:pPr>
        <w:rPr>
          <w:rFonts w:hint="cs"/>
          <w:rtl/>
        </w:rPr>
      </w:pPr>
      <w:bookmarkStart w:id="0" w:name="_GoBack"/>
      <w:bookmarkEnd w:id="0"/>
    </w:p>
    <w:p w:rsidR="003C1D33" w:rsidRDefault="003C1D33" w:rsidP="003C1D33">
      <w:pPr>
        <w:numPr>
          <w:ilvl w:val="0"/>
          <w:numId w:val="3"/>
        </w:numPr>
        <w:spacing w:after="200" w:line="480" w:lineRule="auto"/>
        <w:jc w:val="both"/>
        <w:rPr>
          <w:rFonts w:cs="David" w:hint="cs"/>
          <w:sz w:val="24"/>
          <w:szCs w:val="24"/>
        </w:rPr>
      </w:pPr>
      <w:r>
        <w:rPr>
          <w:rFonts w:cs="David" w:hint="cs"/>
          <w:sz w:val="24"/>
          <w:szCs w:val="24"/>
          <w:rtl/>
        </w:rPr>
        <w:t xml:space="preserve">לפרט אותה לפרוטות קטנות שאפשר לעמוד בהם ולעשות את אותם פרוטות בהתמדה עד שכל המשימה הגדולה נגמרת, כמו המשל שנותן, להזיז הר של חול על ידי כך שבכל יום לוקחים חלק קטן ממנו, וכך יום יום עד שגומרים את כולו, וכך בדברי תורה כל יום לומדים חלק </w:t>
      </w:r>
      <w:proofErr w:type="spellStart"/>
      <w:r>
        <w:rPr>
          <w:rFonts w:cs="David" w:hint="cs"/>
          <w:sz w:val="24"/>
          <w:szCs w:val="24"/>
          <w:rtl/>
        </w:rPr>
        <w:t>מסויים</w:t>
      </w:r>
      <w:proofErr w:type="spellEnd"/>
      <w:r>
        <w:rPr>
          <w:rFonts w:cs="David" w:hint="cs"/>
          <w:sz w:val="24"/>
          <w:szCs w:val="24"/>
          <w:rtl/>
        </w:rPr>
        <w:t xml:space="preserve"> וההתמדה מאפשרת לצרף את החלקים הקטנים לדבר אחד גדול.</w:t>
      </w:r>
    </w:p>
    <w:p w:rsidR="003C1D33" w:rsidRDefault="003C1D33" w:rsidP="003C1D33">
      <w:pPr>
        <w:numPr>
          <w:ilvl w:val="0"/>
          <w:numId w:val="3"/>
        </w:numPr>
        <w:spacing w:after="200" w:line="480" w:lineRule="auto"/>
        <w:jc w:val="both"/>
        <w:rPr>
          <w:rFonts w:cs="David" w:hint="cs"/>
          <w:sz w:val="24"/>
          <w:szCs w:val="24"/>
        </w:rPr>
      </w:pPr>
      <w:r>
        <w:rPr>
          <w:rFonts w:cs="David" w:hint="cs"/>
          <w:sz w:val="24"/>
          <w:szCs w:val="24"/>
          <w:rtl/>
        </w:rPr>
        <w:t xml:space="preserve">דבריו תואמים יותר למדרש, שהרי גם הוא אומר </w:t>
      </w:r>
      <w:proofErr w:type="spellStart"/>
      <w:r>
        <w:rPr>
          <w:rFonts w:cs="David" w:hint="cs"/>
          <w:sz w:val="24"/>
          <w:szCs w:val="24"/>
          <w:rtl/>
        </w:rPr>
        <w:t>שיקח</w:t>
      </w:r>
      <w:proofErr w:type="spellEnd"/>
      <w:r>
        <w:rPr>
          <w:rFonts w:cs="David" w:hint="cs"/>
          <w:sz w:val="24"/>
          <w:szCs w:val="24"/>
          <w:rtl/>
        </w:rPr>
        <w:t xml:space="preserve"> חלק קטן שיכול לעמוד בו ולא יחשוב על החלקים האחרים, כך גם מאפשר להתמודד עם הפחד מהמשא הכבד ולהצליח בסוף התהליך להקיף את כולו.</w:t>
      </w:r>
    </w:p>
    <w:p w:rsidR="003C1D33" w:rsidRDefault="003C1D33" w:rsidP="003C1D33">
      <w:pPr>
        <w:numPr>
          <w:ilvl w:val="0"/>
          <w:numId w:val="3"/>
        </w:numPr>
        <w:spacing w:after="200" w:line="480" w:lineRule="auto"/>
        <w:jc w:val="both"/>
        <w:rPr>
          <w:rFonts w:cs="David" w:hint="cs"/>
          <w:sz w:val="24"/>
          <w:szCs w:val="24"/>
        </w:rPr>
      </w:pPr>
      <w:r w:rsidRPr="007F1A90">
        <w:rPr>
          <w:rFonts w:cs="David" w:hint="cs"/>
          <w:sz w:val="24"/>
          <w:szCs w:val="24"/>
          <w:rtl/>
        </w:rPr>
        <w:t xml:space="preserve">ר"ע היה עם הארץ גם בגלל שלא היו לו יכולות לימודיות, הוא היה אטום וטיפש כסלע, שהרי המדרש דורש את הפס' ההופכי הצור, שהצור התהפך, ונהיה מבין. כל המדרש הוא על השינוי המהותי שעבר על ר"ע, ולא רק הכמותי. </w:t>
      </w:r>
    </w:p>
    <w:p w:rsidR="003C1D33" w:rsidRDefault="003C1D33" w:rsidP="003C1D33">
      <w:pPr>
        <w:spacing w:line="480" w:lineRule="auto"/>
        <w:ind w:left="360"/>
        <w:jc w:val="both"/>
        <w:rPr>
          <w:rFonts w:cs="David" w:hint="cs"/>
          <w:sz w:val="24"/>
          <w:szCs w:val="24"/>
          <w:rtl/>
        </w:rPr>
      </w:pPr>
      <w:r>
        <w:rPr>
          <w:rFonts w:cs="David" w:hint="cs"/>
          <w:sz w:val="24"/>
          <w:szCs w:val="24"/>
          <w:rtl/>
        </w:rPr>
        <w:t xml:space="preserve">המדרש הזה תואם יותר את סיפור ר"ע והבאר, שהרי ההתמדה והצער על התורה חקק בליבו של ר"ע חקיקה שלא </w:t>
      </w:r>
      <w:proofErr w:type="spellStart"/>
      <w:r>
        <w:rPr>
          <w:rFonts w:cs="David" w:hint="cs"/>
          <w:sz w:val="24"/>
          <w:szCs w:val="24"/>
          <w:rtl/>
        </w:rPr>
        <w:t>היתה</w:t>
      </w:r>
      <w:proofErr w:type="spellEnd"/>
      <w:r>
        <w:rPr>
          <w:rFonts w:cs="David" w:hint="cs"/>
          <w:sz w:val="24"/>
          <w:szCs w:val="24"/>
          <w:rtl/>
        </w:rPr>
        <w:t xml:space="preserve"> קיימת לפני כן. ר"ע לא רק הרבה בתורה אלא השתנה ע"י התורה.</w:t>
      </w:r>
    </w:p>
    <w:p w:rsidR="003C1D33" w:rsidRDefault="003C1D33" w:rsidP="003C1D33">
      <w:pPr>
        <w:spacing w:line="480" w:lineRule="auto"/>
        <w:jc w:val="both"/>
        <w:rPr>
          <w:rFonts w:cs="David" w:hint="cs"/>
          <w:sz w:val="24"/>
          <w:szCs w:val="24"/>
          <w:rtl/>
        </w:rPr>
      </w:pPr>
      <w:r>
        <w:rPr>
          <w:rFonts w:cs="David" w:hint="cs"/>
          <w:sz w:val="24"/>
          <w:szCs w:val="24"/>
          <w:rtl/>
        </w:rPr>
        <w:t>בשאלות אלו יש גם שאלות של הבנה וידע, אולם גם של השוואה וניתוח. אין שאלות הפנמה, אולם ההתמודדות עם הקטע שלא נלמד והצורך לתת את הדעת למה הוא דומה, גם הם מכוונים לרמת חשיבה גבוהה.</w:t>
      </w:r>
    </w:p>
    <w:p w:rsidR="003C1D33" w:rsidRPr="00D25AEB" w:rsidRDefault="003C1D33" w:rsidP="003C1D33">
      <w:pPr>
        <w:spacing w:line="480" w:lineRule="auto"/>
        <w:jc w:val="both"/>
        <w:rPr>
          <w:rFonts w:hint="cs"/>
        </w:rPr>
      </w:pPr>
    </w:p>
    <w:p w:rsidR="00D62840" w:rsidRPr="003C1D33" w:rsidRDefault="00D62840"/>
    <w:sectPr w:rsidR="00D62840" w:rsidRPr="003C1D33" w:rsidSect="00D3298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E5" w:rsidRDefault="00D12AE5" w:rsidP="007106B5">
      <w:pPr>
        <w:spacing w:after="0" w:line="240" w:lineRule="auto"/>
      </w:pPr>
      <w:r>
        <w:separator/>
      </w:r>
    </w:p>
  </w:endnote>
  <w:endnote w:type="continuationSeparator" w:id="0">
    <w:p w:rsidR="00D12AE5" w:rsidRDefault="00D12AE5"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Light">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ResponsaTTF">
    <w:altName w:val="Courier New"/>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E5" w:rsidRDefault="00D12AE5" w:rsidP="007106B5">
      <w:pPr>
        <w:spacing w:after="0" w:line="240" w:lineRule="auto"/>
      </w:pPr>
      <w:r>
        <w:separator/>
      </w:r>
    </w:p>
  </w:footnote>
  <w:footnote w:type="continuationSeparator" w:id="0">
    <w:p w:rsidR="00D12AE5" w:rsidRDefault="00D12AE5"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40517"/>
    <w:multiLevelType w:val="hybridMultilevel"/>
    <w:tmpl w:val="908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8101C"/>
    <w:multiLevelType w:val="hybridMultilevel"/>
    <w:tmpl w:val="C308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63028"/>
    <w:multiLevelType w:val="multilevel"/>
    <w:tmpl w:val="1790482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3C1D33"/>
    <w:rsid w:val="007106B5"/>
    <w:rsid w:val="00D12AE5"/>
    <w:rsid w:val="00D32986"/>
    <w:rsid w:val="00D6284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customStyle="1" w:styleId="a9">
    <w:name w:val="הצעת מחיר"/>
    <w:basedOn w:val="a"/>
    <w:next w:val="a"/>
    <w:link w:val="aa"/>
    <w:qFormat/>
    <w:rsid w:val="003C1D33"/>
    <w:pPr>
      <w:bidi w:val="0"/>
      <w:spacing w:after="200" w:line="276" w:lineRule="auto"/>
    </w:pPr>
    <w:rPr>
      <w:rFonts w:ascii="Calibri" w:eastAsia="Times New Roman" w:hAnsi="Calibri" w:cs="Arial"/>
      <w:i/>
      <w:iCs/>
      <w:color w:val="000000"/>
      <w:lang w:bidi="en-US"/>
    </w:rPr>
  </w:style>
  <w:style w:type="character" w:customStyle="1" w:styleId="aa">
    <w:name w:val="הצעת מחיר תו"/>
    <w:basedOn w:val="a0"/>
    <w:link w:val="a9"/>
    <w:rsid w:val="003C1D33"/>
    <w:rPr>
      <w:rFonts w:ascii="Calibri" w:eastAsia="Times New Roman" w:hAnsi="Calibri" w:cs="Arial"/>
      <w:i/>
      <w:iCs/>
      <w:color w:val="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customStyle="1" w:styleId="a9">
    <w:name w:val="הצעת מחיר"/>
    <w:basedOn w:val="a"/>
    <w:next w:val="a"/>
    <w:link w:val="aa"/>
    <w:qFormat/>
    <w:rsid w:val="003C1D33"/>
    <w:pPr>
      <w:bidi w:val="0"/>
      <w:spacing w:after="200" w:line="276" w:lineRule="auto"/>
    </w:pPr>
    <w:rPr>
      <w:rFonts w:ascii="Calibri" w:eastAsia="Times New Roman" w:hAnsi="Calibri" w:cs="Arial"/>
      <w:i/>
      <w:iCs/>
      <w:color w:val="000000"/>
      <w:lang w:bidi="en-US"/>
    </w:rPr>
  </w:style>
  <w:style w:type="character" w:customStyle="1" w:styleId="aa">
    <w:name w:val="הצעת מחיר תו"/>
    <w:basedOn w:val="a0"/>
    <w:link w:val="a9"/>
    <w:rsid w:val="003C1D33"/>
    <w:rPr>
      <w:rFonts w:ascii="Calibri" w:eastAsia="Times New Roman" w:hAnsi="Calibri" w:cs="Arial"/>
      <w:i/>
      <w:iCs/>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1341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2015-07-03T08:57:00Z</dcterms:created>
  <dcterms:modified xsi:type="dcterms:W3CDTF">2015-07-03T08:57:00Z</dcterms:modified>
</cp:coreProperties>
</file>