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94" w:rsidRDefault="00404EA0" w:rsidP="00404EA0">
      <w:pPr>
        <w:jc w:val="center"/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1AF090" wp14:editId="518B7ADC">
                <wp:simplePos x="0" y="0"/>
                <wp:positionH relativeFrom="margin">
                  <wp:align>center</wp:align>
                </wp:positionH>
                <wp:positionV relativeFrom="paragraph">
                  <wp:posOffset>1160145</wp:posOffset>
                </wp:positionV>
                <wp:extent cx="6048375" cy="4457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A0" w:rsidRDefault="00404EA0" w:rsidP="00404EA0">
                            <w:pPr>
                              <w:rPr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tl/>
                              </w:rPr>
                              <w:t xml:space="preserve">הרב יום טוב ליפמן הלוי הלר, תוספות יום טוב, מסכת שבת פרק א משנה ז </w:t>
                            </w:r>
                          </w:p>
                          <w:p w:rsidR="00404EA0" w:rsidRDefault="00404EA0" w:rsidP="00404EA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בית שמאי אומרים אין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מוכרין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לנכרי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והך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פלוגתא לא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שייכא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בהני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דלעיל,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דליכא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הכא משום שביתת כלים. ובין לבית שמאי ובין לבית הלל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איצטריך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דבית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שמאי אסרי משום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דמאן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דחזי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סבר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דשלוחו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הוא ושליחותיה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קעביד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, ובית הלל לא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חיישי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להכי ושרו. 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הך פלוגתא- מחלוקת זו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שייכא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 שייכת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הני דלעיל- אלו שלמעלה (משניות ה-ו)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דליכא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 שהרי אין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הכא- כאן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איצטריך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 נצרכה (המחלוקת)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אסרי- אוסרים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מאן- מי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דחזי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 שרואה, כלומר שאוסר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שליחותיה- שליחותו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קעביד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 עושה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חיישי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 חוששים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להכי- לכך</w:t>
                            </w:r>
                          </w:p>
                          <w:p w:rsidR="00404EA0" w:rsidRDefault="00404EA0" w:rsidP="00404EA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שרו- מתירים</w:t>
                            </w:r>
                          </w:p>
                          <w:bookmarkEnd w:id="0"/>
                          <w:p w:rsidR="00404EA0" w:rsidRDefault="00404EA0" w:rsidP="00404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F09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91.35pt;width:476.25pt;height:351pt;flip:x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">
                <v:textbox>
                  <w:txbxContent>
                    <w:p w:rsidR="00404EA0" w:rsidRDefault="00404EA0" w:rsidP="00404EA0">
                      <w:pPr>
                        <w:rPr>
                          <w:rtl/>
                        </w:rPr>
                      </w:pPr>
                      <w:bookmarkStart w:id="1" w:name="_GoBack"/>
                      <w:r>
                        <w:rPr>
                          <w:rtl/>
                        </w:rPr>
                        <w:t xml:space="preserve">הרב יום טוב ליפמן הלוי הלר, תוספות יום טוב, מסכת שבת פרק א משנה ז </w:t>
                      </w:r>
                    </w:p>
                    <w:p w:rsidR="00404EA0" w:rsidRDefault="00404EA0" w:rsidP="00404EA0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בית שמאי אומרים אין </w:t>
                      </w:r>
                      <w:proofErr w:type="spellStart"/>
                      <w:r>
                        <w:rPr>
                          <w:rtl/>
                        </w:rPr>
                        <w:t>מוכרין</w:t>
                      </w:r>
                      <w:proofErr w:type="spellEnd"/>
                      <w:r>
                        <w:rPr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tl/>
                        </w:rPr>
                        <w:t>לנכרי</w:t>
                      </w:r>
                      <w:proofErr w:type="spellEnd"/>
                      <w:r>
                        <w:rPr>
                          <w:rtl/>
                        </w:rPr>
                        <w:t xml:space="preserve"> - </w:t>
                      </w:r>
                      <w:proofErr w:type="spellStart"/>
                      <w:r>
                        <w:rPr>
                          <w:rtl/>
                        </w:rPr>
                        <w:t>והך</w:t>
                      </w:r>
                      <w:proofErr w:type="spellEnd"/>
                      <w:r>
                        <w:rPr>
                          <w:rtl/>
                        </w:rPr>
                        <w:t xml:space="preserve"> פלוגתא לא </w:t>
                      </w:r>
                      <w:proofErr w:type="spellStart"/>
                      <w:r>
                        <w:rPr>
                          <w:rtl/>
                        </w:rPr>
                        <w:t>שייכא</w:t>
                      </w:r>
                      <w:proofErr w:type="spellEnd"/>
                      <w:r>
                        <w:rPr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tl/>
                        </w:rPr>
                        <w:t>בהני</w:t>
                      </w:r>
                      <w:proofErr w:type="spellEnd"/>
                      <w:r>
                        <w:rPr>
                          <w:rtl/>
                        </w:rPr>
                        <w:t xml:space="preserve"> דלעיל, </w:t>
                      </w:r>
                      <w:proofErr w:type="spellStart"/>
                      <w:r>
                        <w:rPr>
                          <w:rtl/>
                        </w:rPr>
                        <w:t>דליכא</w:t>
                      </w:r>
                      <w:proofErr w:type="spellEnd"/>
                      <w:r>
                        <w:rPr>
                          <w:rtl/>
                        </w:rPr>
                        <w:t xml:space="preserve"> הכא משום שביתת כלים. ובין לבית שמאי ובין לבית הלל </w:t>
                      </w:r>
                      <w:proofErr w:type="spellStart"/>
                      <w:r>
                        <w:rPr>
                          <w:rtl/>
                        </w:rPr>
                        <w:t>איצטריך</w:t>
                      </w:r>
                      <w:proofErr w:type="spellEnd"/>
                      <w:r>
                        <w:rPr>
                          <w:rtl/>
                        </w:rPr>
                        <w:t xml:space="preserve">. </w:t>
                      </w:r>
                      <w:proofErr w:type="spellStart"/>
                      <w:r>
                        <w:rPr>
                          <w:rtl/>
                        </w:rPr>
                        <w:t>דבית</w:t>
                      </w:r>
                      <w:proofErr w:type="spellEnd"/>
                      <w:r>
                        <w:rPr>
                          <w:rtl/>
                        </w:rPr>
                        <w:t xml:space="preserve"> שמאי אסרי משום </w:t>
                      </w:r>
                      <w:proofErr w:type="spellStart"/>
                      <w:r>
                        <w:rPr>
                          <w:rtl/>
                        </w:rPr>
                        <w:t>דמאן</w:t>
                      </w:r>
                      <w:proofErr w:type="spellEnd"/>
                      <w:r>
                        <w:rPr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tl/>
                        </w:rPr>
                        <w:t>דחזי</w:t>
                      </w:r>
                      <w:proofErr w:type="spellEnd"/>
                      <w:r>
                        <w:rPr>
                          <w:rtl/>
                        </w:rPr>
                        <w:t xml:space="preserve"> סבר </w:t>
                      </w:r>
                      <w:proofErr w:type="spellStart"/>
                      <w:r>
                        <w:rPr>
                          <w:rtl/>
                        </w:rPr>
                        <w:t>דשלוחו</w:t>
                      </w:r>
                      <w:proofErr w:type="spellEnd"/>
                      <w:r>
                        <w:rPr>
                          <w:rtl/>
                        </w:rPr>
                        <w:t xml:space="preserve"> הוא ושליחותיה </w:t>
                      </w:r>
                      <w:proofErr w:type="spellStart"/>
                      <w:r>
                        <w:rPr>
                          <w:rtl/>
                        </w:rPr>
                        <w:t>קעביד</w:t>
                      </w:r>
                      <w:proofErr w:type="spellEnd"/>
                      <w:r>
                        <w:rPr>
                          <w:rtl/>
                        </w:rPr>
                        <w:t xml:space="preserve">, ובית הלל לא </w:t>
                      </w:r>
                      <w:proofErr w:type="spellStart"/>
                      <w:r>
                        <w:rPr>
                          <w:rtl/>
                        </w:rPr>
                        <w:t>חיישי</w:t>
                      </w:r>
                      <w:proofErr w:type="spellEnd"/>
                      <w:r>
                        <w:rPr>
                          <w:rtl/>
                        </w:rPr>
                        <w:t xml:space="preserve"> להכי ושרו. 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הך פלוגתא- מחלוקת זו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שייכא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 שייכת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הני דלעיל- אלו שלמעלה (משניות ה-ו)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דליכא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 שהרי אין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הכא- כאן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איצטריך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 נצרכה (המחלוקת)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אסרי- אוסרים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מאן- מי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דחזי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 שרואה, כלומר שאוסר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שליחותיה- שליחותו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קעביד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 עושה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חיישי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 חוששים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להכי- לכך</w:t>
                      </w:r>
                    </w:p>
                    <w:p w:rsidR="00404EA0" w:rsidRDefault="00404EA0" w:rsidP="00404EA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שרו- מתירים</w:t>
                      </w:r>
                    </w:p>
                    <w:bookmarkEnd w:id="1"/>
                    <w:p w:rsidR="00404EA0" w:rsidRDefault="00404EA0" w:rsidP="00404EA0"/>
                  </w:txbxContent>
                </v:textbox>
                <w10:wrap type="tight" anchorx="margin"/>
              </v:shape>
            </w:pict>
          </mc:Fallback>
        </mc:AlternateContent>
      </w:r>
      <w:r w:rsidRPr="00F75928">
        <w:rPr>
          <w:rFonts w:cs="Arial"/>
          <w:noProof/>
          <w:rtl/>
        </w:rPr>
        <w:drawing>
          <wp:inline distT="0" distB="0" distL="0" distR="0" wp14:anchorId="7A420DF2" wp14:editId="531DE6B6">
            <wp:extent cx="2170030" cy="727072"/>
            <wp:effectExtent l="0" t="0" r="1905" b="0"/>
            <wp:docPr id="2" name="תמונה 2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16" cy="7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694" w:rsidSect="003B4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6"/>
    <w:rsid w:val="000559F0"/>
    <w:rsid w:val="00116B3B"/>
    <w:rsid w:val="00213CB6"/>
    <w:rsid w:val="00226473"/>
    <w:rsid w:val="00234D42"/>
    <w:rsid w:val="00257CC4"/>
    <w:rsid w:val="002E2C2F"/>
    <w:rsid w:val="00313694"/>
    <w:rsid w:val="00355F98"/>
    <w:rsid w:val="0037444B"/>
    <w:rsid w:val="003A09C3"/>
    <w:rsid w:val="003B4804"/>
    <w:rsid w:val="003C0570"/>
    <w:rsid w:val="003F5F54"/>
    <w:rsid w:val="00404EA0"/>
    <w:rsid w:val="004177F1"/>
    <w:rsid w:val="00455790"/>
    <w:rsid w:val="005575A5"/>
    <w:rsid w:val="005F2323"/>
    <w:rsid w:val="005F7CAD"/>
    <w:rsid w:val="006057E7"/>
    <w:rsid w:val="00631407"/>
    <w:rsid w:val="006E2DB2"/>
    <w:rsid w:val="00765C0B"/>
    <w:rsid w:val="00791E22"/>
    <w:rsid w:val="00860019"/>
    <w:rsid w:val="00874011"/>
    <w:rsid w:val="00895001"/>
    <w:rsid w:val="008B2C8D"/>
    <w:rsid w:val="00997E38"/>
    <w:rsid w:val="00A60DB8"/>
    <w:rsid w:val="00AD68AD"/>
    <w:rsid w:val="00AF2257"/>
    <w:rsid w:val="00B85B94"/>
    <w:rsid w:val="00BC6264"/>
    <w:rsid w:val="00C76CEB"/>
    <w:rsid w:val="00CC5736"/>
    <w:rsid w:val="00CE6481"/>
    <w:rsid w:val="00D05A60"/>
    <w:rsid w:val="00D95974"/>
    <w:rsid w:val="00DD50D7"/>
    <w:rsid w:val="00E60AFE"/>
    <w:rsid w:val="00E71C2E"/>
    <w:rsid w:val="00ED4790"/>
    <w:rsid w:val="00ED5E7C"/>
    <w:rsid w:val="00F20EA2"/>
    <w:rsid w:val="00F52FAF"/>
    <w:rsid w:val="00FC3CD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DB559-E48A-49C5-B19E-B67268F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A0"/>
    <w:pPr>
      <w:bidi/>
      <w:spacing w:after="20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2019-03-07T09:00:00Z</dcterms:created>
  <dcterms:modified xsi:type="dcterms:W3CDTF">2019-03-07T09:02:00Z</dcterms:modified>
</cp:coreProperties>
</file>