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916" w:rsidRDefault="00F90916" w:rsidP="00F90916">
      <w:pPr>
        <w:rPr>
          <w:rFonts w:cs="David" w:hint="cs"/>
          <w:b/>
          <w:bCs/>
          <w:sz w:val="28"/>
          <w:szCs w:val="28"/>
          <w:rtl/>
        </w:rPr>
      </w:pPr>
    </w:p>
    <w:p w:rsidR="00F90916" w:rsidRDefault="00F90916" w:rsidP="00F90916">
      <w:pPr>
        <w:rPr>
          <w:rFonts w:cs="David" w:hint="cs"/>
          <w:b/>
          <w:bCs/>
          <w:sz w:val="28"/>
          <w:szCs w:val="28"/>
          <w:rtl/>
        </w:rPr>
      </w:pPr>
    </w:p>
    <w:p w:rsidR="00F90916" w:rsidRDefault="00F90916" w:rsidP="00F90916">
      <w:pPr>
        <w:rPr>
          <w:rFonts w:cs="David" w:hint="cs"/>
          <w:b/>
          <w:bCs/>
          <w:sz w:val="28"/>
          <w:szCs w:val="28"/>
          <w:rtl/>
        </w:rPr>
      </w:pPr>
    </w:p>
    <w:p w:rsidR="00F90916" w:rsidRPr="00B12087" w:rsidRDefault="00F90916" w:rsidP="00F90916">
      <w:pPr>
        <w:spacing w:line="360" w:lineRule="auto"/>
        <w:jc w:val="both"/>
        <w:rPr>
          <w:rFonts w:cs="David"/>
          <w:rtl/>
        </w:rPr>
      </w:pPr>
      <w:r>
        <w:rPr>
          <w:rFonts w:cs="David" w:hint="cs"/>
          <w:rtl/>
        </w:rPr>
        <w:t xml:space="preserve">להלן תוכן </w:t>
      </w:r>
      <w:r w:rsidRPr="00B12087">
        <w:rPr>
          <w:rFonts w:cs="David" w:hint="cs"/>
          <w:rtl/>
        </w:rPr>
        <w:t xml:space="preserve">הסעיפים אליהם </w:t>
      </w:r>
      <w:r>
        <w:rPr>
          <w:rFonts w:cs="David" w:hint="cs"/>
          <w:rtl/>
        </w:rPr>
        <w:t>השיעור מתייחס</w:t>
      </w:r>
      <w:r w:rsidRPr="00B12087">
        <w:rPr>
          <w:rFonts w:cs="David" w:hint="cs"/>
          <w:rtl/>
        </w:rPr>
        <w:t xml:space="preserve">: סימן צב </w:t>
      </w:r>
      <w:r>
        <w:rPr>
          <w:rFonts w:cs="David" w:hint="cs"/>
          <w:rtl/>
        </w:rPr>
        <w:t xml:space="preserve">סעיפים א-ג, ו, י, </w:t>
      </w:r>
      <w:proofErr w:type="spellStart"/>
      <w:r>
        <w:rPr>
          <w:rFonts w:cs="David" w:hint="cs"/>
          <w:rtl/>
        </w:rPr>
        <w:t>יג</w:t>
      </w:r>
      <w:proofErr w:type="spellEnd"/>
      <w:r>
        <w:rPr>
          <w:rFonts w:cs="David" w:hint="cs"/>
          <w:rtl/>
        </w:rPr>
        <w:t>-</w:t>
      </w:r>
      <w:proofErr w:type="spellStart"/>
      <w:r>
        <w:rPr>
          <w:rFonts w:cs="David" w:hint="cs"/>
          <w:rtl/>
        </w:rPr>
        <w:t>טו</w:t>
      </w:r>
      <w:proofErr w:type="spellEnd"/>
      <w:r>
        <w:rPr>
          <w:rFonts w:cs="David" w:hint="cs"/>
          <w:rtl/>
        </w:rPr>
        <w:t xml:space="preserve">. התלמידים יכולים ללמוד מתוך דף זה או מתוך הספר (הכולל גם סעיפים שלא נלמדים בשיעור זה), לשיקול דעת המורה. </w:t>
      </w:r>
    </w:p>
    <w:p w:rsidR="00F90916" w:rsidRPr="00F50E3C" w:rsidRDefault="00F90916" w:rsidP="00F90916">
      <w:pPr>
        <w:spacing w:line="360" w:lineRule="auto"/>
        <w:jc w:val="both"/>
        <w:rPr>
          <w:rFonts w:cs="David"/>
          <w:rtl/>
        </w:rPr>
      </w:pPr>
      <w:r w:rsidRPr="00B12087">
        <w:rPr>
          <w:rFonts w:cs="David" w:hint="cs"/>
          <w:b/>
          <w:bCs/>
          <w:rtl/>
        </w:rPr>
        <w:t>א</w:t>
      </w:r>
      <w:r w:rsidRPr="00F50E3C">
        <w:rPr>
          <w:rFonts w:cs="David" w:hint="cs"/>
          <w:rtl/>
        </w:rPr>
        <w:t>. ששה ימים אסרה תורה בעשיית מלאכה, והן ראשון ושביעי של פסח, ראשון ושמיני של  חג הסוכות וביום חג השבועות, ובאחד לחודש השביעי, והם הנקראים ימים טובים, ואסורים בכל מלאכת עבודה חוץ ממלאכה שהיא לצורך אכילה, שנאמר "אך אשר יאכל לכל נפש הוא לבדו יעשה לכם'.</w:t>
      </w:r>
    </w:p>
    <w:p w:rsidR="00F90916" w:rsidRPr="00F50E3C" w:rsidRDefault="00F90916" w:rsidP="00F90916">
      <w:pPr>
        <w:spacing w:line="360" w:lineRule="auto"/>
        <w:jc w:val="both"/>
        <w:rPr>
          <w:rFonts w:cs="David"/>
          <w:rtl/>
        </w:rPr>
      </w:pPr>
      <w:r w:rsidRPr="00B12087">
        <w:rPr>
          <w:rFonts w:cs="David" w:hint="cs"/>
          <w:b/>
          <w:bCs/>
          <w:rtl/>
        </w:rPr>
        <w:t>ב.</w:t>
      </w:r>
      <w:r w:rsidRPr="00F50E3C">
        <w:rPr>
          <w:rFonts w:cs="David" w:hint="cs"/>
          <w:rtl/>
        </w:rPr>
        <w:t xml:space="preserve"> כל מלאכה האסורה בשבת אסורה ביום טוב, חוץ ממלאכת אוכל נפש וחוץ מהוצאה והבערה, וכן מכשירי אוכל נפש</w:t>
      </w:r>
      <w:r>
        <w:rPr>
          <w:rStyle w:val="a8"/>
          <w:rFonts w:cs="David"/>
          <w:rtl/>
        </w:rPr>
        <w:footnoteReference w:id="1"/>
      </w:r>
      <w:r w:rsidRPr="00F50E3C">
        <w:rPr>
          <w:rFonts w:cs="David" w:hint="cs"/>
          <w:rtl/>
        </w:rPr>
        <w:t xml:space="preserve"> שלא היה אפשר לעשותם מאתמול. ויש מחמירים אפילו באוכל נפש עצמו כל שאינו מפיג טעם כלל אם </w:t>
      </w:r>
      <w:proofErr w:type="spellStart"/>
      <w:r w:rsidRPr="00F50E3C">
        <w:rPr>
          <w:rFonts w:cs="David" w:hint="cs"/>
          <w:rtl/>
        </w:rPr>
        <w:t>עשאו</w:t>
      </w:r>
      <w:proofErr w:type="spellEnd"/>
      <w:r w:rsidRPr="00F50E3C">
        <w:rPr>
          <w:rFonts w:cs="David" w:hint="cs"/>
          <w:rtl/>
        </w:rPr>
        <w:t xml:space="preserve"> מערב יום טוב. אבל אם </w:t>
      </w:r>
      <w:r>
        <w:rPr>
          <w:rFonts w:cs="David" w:hint="cs"/>
          <w:rtl/>
        </w:rPr>
        <w:t>לא</w:t>
      </w:r>
      <w:r>
        <w:rPr>
          <w:rStyle w:val="a8"/>
          <w:rFonts w:cs="David"/>
          <w:rtl/>
        </w:rPr>
        <w:footnoteReference w:id="2"/>
      </w:r>
      <w:r>
        <w:rPr>
          <w:rFonts w:cs="David" w:hint="cs"/>
          <w:rtl/>
        </w:rPr>
        <w:t xml:space="preserve"> </w:t>
      </w:r>
      <w:proofErr w:type="spellStart"/>
      <w:r w:rsidRPr="00F50E3C">
        <w:rPr>
          <w:rFonts w:cs="David" w:hint="cs"/>
          <w:rtl/>
        </w:rPr>
        <w:t>עשאו</w:t>
      </w:r>
      <w:proofErr w:type="spellEnd"/>
      <w:r w:rsidRPr="00F50E3C">
        <w:rPr>
          <w:rFonts w:cs="David" w:hint="cs"/>
          <w:rtl/>
        </w:rPr>
        <w:t xml:space="preserve"> מבעוד יום ויש בו צורך יום טוב מותר לעשותו ע"י שינוי.</w:t>
      </w:r>
    </w:p>
    <w:p w:rsidR="00F90916" w:rsidRPr="00F50E3C" w:rsidRDefault="00F90916" w:rsidP="00F90916">
      <w:pPr>
        <w:spacing w:line="360" w:lineRule="auto"/>
        <w:jc w:val="both"/>
        <w:rPr>
          <w:rFonts w:cs="David"/>
          <w:rtl/>
        </w:rPr>
      </w:pPr>
      <w:r w:rsidRPr="00B12087">
        <w:rPr>
          <w:rFonts w:cs="David" w:hint="cs"/>
          <w:b/>
          <w:bCs/>
          <w:rtl/>
        </w:rPr>
        <w:t>ג.</w:t>
      </w:r>
      <w:r w:rsidRPr="00F50E3C">
        <w:rPr>
          <w:rFonts w:cs="David" w:hint="cs"/>
          <w:rtl/>
        </w:rPr>
        <w:t xml:space="preserve"> קצירה וטחינה ובצירה וסחיטה וצידה, אע"פ שהם מלאכת אוכל נפש אסרום חכמים, והטעם: לפי שאדם רגיל לקצור שדהו ולבצור כרמו כאחת, ולדרוך כל ענביו ולטחון הרבה ביחד, וחששו חכמים שאם היו מותרות ביום טוב היה קוצר כל שדהו ובוצר כל כרמו ודורך כל ענביו וימנע משמחת יום טוב. וכן צידה אסורה, שפעמים תעלה מצודתו דגים רבים.</w:t>
      </w:r>
    </w:p>
    <w:p w:rsidR="00F90916" w:rsidRDefault="00F90916" w:rsidP="00F90916">
      <w:pPr>
        <w:spacing w:line="360" w:lineRule="auto"/>
        <w:jc w:val="both"/>
        <w:rPr>
          <w:rFonts w:cs="David"/>
          <w:rtl/>
        </w:rPr>
      </w:pPr>
      <w:r w:rsidRPr="00B12087">
        <w:rPr>
          <w:rFonts w:cs="David" w:hint="cs"/>
          <w:b/>
          <w:bCs/>
          <w:rtl/>
        </w:rPr>
        <w:t>ו.</w:t>
      </w:r>
      <w:r>
        <w:rPr>
          <w:rFonts w:cs="David" w:hint="cs"/>
          <w:rtl/>
        </w:rPr>
        <w:t xml:space="preserve"> בזמננו אין רגילים </w:t>
      </w:r>
      <w:r w:rsidRPr="00F50E3C">
        <w:rPr>
          <w:rFonts w:cs="David" w:hint="cs"/>
          <w:rtl/>
        </w:rPr>
        <w:t>לאפות לחם בבתים, ומעולם לא שמענו היתר אפיית לחם ביום טוב</w:t>
      </w:r>
      <w:r>
        <w:rPr>
          <w:rStyle w:val="a8"/>
          <w:rFonts w:cs="David"/>
          <w:rtl/>
        </w:rPr>
        <w:footnoteReference w:id="3"/>
      </w:r>
      <w:r w:rsidRPr="00F50E3C">
        <w:rPr>
          <w:rFonts w:cs="David" w:hint="cs"/>
          <w:rtl/>
        </w:rPr>
        <w:t xml:space="preserve"> אף שמן הדין מותר. ועשיית אטריות ביום טוב כבר אסרום רוב גדולי הפוסקים. וגם אפיית עוגות הוא דבר שאין בו כל צורך, שאין מפיגות טעמם אם יאפום מערב יום טוב. אלא שאם נזקק אדם לאפות עוגה ביום טוב מסיבה כלשהי מותרת גם הלישה וגם </w:t>
      </w:r>
      <w:proofErr w:type="spellStart"/>
      <w:r w:rsidRPr="00F50E3C">
        <w:rPr>
          <w:rFonts w:cs="David" w:hint="cs"/>
          <w:rtl/>
        </w:rPr>
        <w:t>האפיה</w:t>
      </w:r>
      <w:proofErr w:type="spellEnd"/>
      <w:r w:rsidRPr="00F50E3C">
        <w:rPr>
          <w:rFonts w:cs="David" w:hint="cs"/>
          <w:rtl/>
        </w:rPr>
        <w:t>. ויש מחמירים לעשות ע"י שינוי. וכן הדין גם בבישול, שכל תבשיל שאינו מפיג טעם כלל אם יבשלוהו מערב יום טוב אין לבשלו ביום טוב. ודי בכלל זה ממנו ידע כבר אדם מה מותר לו לבשל ביום טוב, אלא שעל כל פנים אם לא בישל דבר שאינו מפיג טעם מערב יום טוב יכול לבשל ביום טוב על ידי שינוי.</w:t>
      </w:r>
    </w:p>
    <w:p w:rsidR="00F90916" w:rsidRPr="00F50E3C" w:rsidRDefault="00F90916" w:rsidP="00F90916">
      <w:pPr>
        <w:spacing w:line="360" w:lineRule="auto"/>
        <w:jc w:val="both"/>
        <w:rPr>
          <w:rFonts w:cs="David"/>
          <w:rtl/>
        </w:rPr>
      </w:pPr>
      <w:r>
        <w:rPr>
          <w:rFonts w:cs="David" w:hint="cs"/>
          <w:rtl/>
        </w:rPr>
        <w:t>י. אין עושים גבינה ביום טוב, שהעשויה מאתמול טובה יותר, אבל עשיית לֶבֶּן ביום טוב מותרת.</w:t>
      </w:r>
    </w:p>
    <w:p w:rsidR="00F90916" w:rsidRPr="00F50E3C" w:rsidRDefault="00F90916" w:rsidP="00F90916">
      <w:pPr>
        <w:spacing w:line="360" w:lineRule="auto"/>
        <w:jc w:val="both"/>
        <w:rPr>
          <w:rFonts w:cs="David"/>
          <w:rtl/>
        </w:rPr>
      </w:pPr>
      <w:proofErr w:type="spellStart"/>
      <w:r w:rsidRPr="00B12087">
        <w:rPr>
          <w:rFonts w:cs="David" w:hint="cs"/>
          <w:b/>
          <w:bCs/>
          <w:rtl/>
        </w:rPr>
        <w:t>יג</w:t>
      </w:r>
      <w:proofErr w:type="spellEnd"/>
      <w:r w:rsidRPr="00B12087">
        <w:rPr>
          <w:rFonts w:cs="David" w:hint="cs"/>
          <w:b/>
          <w:bCs/>
          <w:rtl/>
        </w:rPr>
        <w:t>.</w:t>
      </w:r>
      <w:r w:rsidRPr="00F50E3C">
        <w:rPr>
          <w:rFonts w:cs="David" w:hint="cs"/>
          <w:rtl/>
        </w:rPr>
        <w:t xml:space="preserve"> הוצאת אש ביום טוב אסורה בכל צורה שהיא, שלא הותר ביום טוב אלא  להבעיר מאש מצויה, אבל להמציא אש אסור, שהרי אפשר להמציאה בערב יום טוב. ולכן הצתת גפרורים ביום טוב אסורה, שגם זו הוצאת אש היא. וידוע בכל ישראל שמשאירים נר דולק כל משך היממה כדי להדליק ממנו כל הצורך.</w:t>
      </w:r>
    </w:p>
    <w:p w:rsidR="00F90916" w:rsidRPr="00F50E3C" w:rsidRDefault="00F90916" w:rsidP="00F90916">
      <w:pPr>
        <w:spacing w:line="360" w:lineRule="auto"/>
        <w:jc w:val="both"/>
        <w:rPr>
          <w:rFonts w:cs="David"/>
          <w:rtl/>
        </w:rPr>
      </w:pPr>
      <w:r w:rsidRPr="00B12087">
        <w:rPr>
          <w:rFonts w:cs="David" w:hint="cs"/>
          <w:b/>
          <w:bCs/>
          <w:rtl/>
        </w:rPr>
        <w:t>יד.</w:t>
      </w:r>
      <w:r w:rsidRPr="00F50E3C">
        <w:rPr>
          <w:rFonts w:cs="David" w:hint="cs"/>
          <w:rtl/>
        </w:rPr>
        <w:t xml:space="preserve"> אסור לכבות את האש אפילו הובערה לצורך אכילה, שהכיבוי מלאכה שאין בה צורך אכילה כלל. ולכן המדליק אש ע"י </w:t>
      </w:r>
      <w:proofErr w:type="spellStart"/>
      <w:r w:rsidRPr="00F50E3C">
        <w:rPr>
          <w:rFonts w:cs="David" w:hint="cs"/>
          <w:rtl/>
        </w:rPr>
        <w:t>קיסמין</w:t>
      </w:r>
      <w:proofErr w:type="spellEnd"/>
      <w:r w:rsidRPr="00F50E3C">
        <w:rPr>
          <w:rFonts w:cs="David" w:hint="cs"/>
          <w:rtl/>
        </w:rPr>
        <w:t xml:space="preserve"> אל יזרקם מידו אחרי השימוש, שאז ודאי יכבו מכוח זריקתו, אלא יניחם שיכבו מעצמם.</w:t>
      </w:r>
    </w:p>
    <w:p w:rsidR="00847D87" w:rsidRPr="00F90916" w:rsidRDefault="00F90916" w:rsidP="00F90916">
      <w:pPr>
        <w:spacing w:line="360" w:lineRule="auto"/>
        <w:jc w:val="both"/>
        <w:rPr>
          <w:rFonts w:cs="David"/>
          <w:b/>
          <w:bCs/>
        </w:rPr>
      </w:pPr>
      <w:proofErr w:type="spellStart"/>
      <w:r w:rsidRPr="00B12087">
        <w:rPr>
          <w:rFonts w:cs="David" w:hint="cs"/>
          <w:b/>
          <w:bCs/>
          <w:rtl/>
        </w:rPr>
        <w:t>טו</w:t>
      </w:r>
      <w:proofErr w:type="spellEnd"/>
      <w:r w:rsidRPr="00B12087">
        <w:rPr>
          <w:rFonts w:cs="David" w:hint="cs"/>
          <w:b/>
          <w:bCs/>
          <w:rtl/>
        </w:rPr>
        <w:t>.</w:t>
      </w:r>
      <w:r w:rsidRPr="00F50E3C">
        <w:rPr>
          <w:rFonts w:cs="David" w:hint="cs"/>
          <w:rtl/>
        </w:rPr>
        <w:t xml:space="preserve"> המבשל ביום טוב בפרימוס או בכירים של גז אסור לכבותם אחרי הבישול, אלא ימלא קומקום מים על כל גדותיו ויניחנו על גבי האש, והמים ירתחו ויגלשו ויכבו את האש, ורק אחר כך יסגור את הגז או הפרימוס לבל יוסיף לזרום, וישתמש במים שרתחו לצורך אוכל נפש.</w:t>
      </w:r>
    </w:p>
    <w:sectPr w:rsidR="00847D87" w:rsidRPr="00F90916" w:rsidSect="00D32986">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133" w:rsidRDefault="003F5133" w:rsidP="00F90916">
      <w:pPr>
        <w:spacing w:after="0" w:line="240" w:lineRule="auto"/>
      </w:pPr>
      <w:r>
        <w:separator/>
      </w:r>
    </w:p>
  </w:endnote>
  <w:endnote w:type="continuationSeparator" w:id="0">
    <w:p w:rsidR="003F5133" w:rsidRDefault="003F5133" w:rsidP="00F90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133" w:rsidRDefault="003F5133" w:rsidP="00F90916">
      <w:pPr>
        <w:spacing w:after="0" w:line="240" w:lineRule="auto"/>
      </w:pPr>
      <w:r>
        <w:separator/>
      </w:r>
    </w:p>
  </w:footnote>
  <w:footnote w:type="continuationSeparator" w:id="0">
    <w:p w:rsidR="003F5133" w:rsidRDefault="003F5133" w:rsidP="00F90916">
      <w:pPr>
        <w:spacing w:after="0" w:line="240" w:lineRule="auto"/>
      </w:pPr>
      <w:r>
        <w:continuationSeparator/>
      </w:r>
    </w:p>
  </w:footnote>
  <w:footnote w:id="1">
    <w:p w:rsidR="00F90916" w:rsidRPr="00F90916" w:rsidRDefault="00F90916" w:rsidP="00F90916">
      <w:pPr>
        <w:pStyle w:val="a6"/>
        <w:spacing w:line="360" w:lineRule="auto"/>
        <w:rPr>
          <w:sz w:val="14"/>
          <w:szCs w:val="14"/>
          <w:rtl/>
        </w:rPr>
      </w:pPr>
      <w:r w:rsidRPr="00F90916">
        <w:rPr>
          <w:rStyle w:val="a8"/>
          <w:sz w:val="14"/>
          <w:szCs w:val="14"/>
        </w:rPr>
        <w:footnoteRef/>
      </w:r>
      <w:r w:rsidRPr="00F90916">
        <w:rPr>
          <w:sz w:val="14"/>
          <w:szCs w:val="14"/>
          <w:rtl/>
        </w:rPr>
        <w:t xml:space="preserve"> </w:t>
      </w:r>
      <w:r w:rsidRPr="00F90916">
        <w:rPr>
          <w:rFonts w:hint="cs"/>
          <w:sz w:val="14"/>
          <w:szCs w:val="14"/>
          <w:rtl/>
        </w:rPr>
        <w:t>'מכשירי אוכל נפש' הן מלאכות שאינם עוסקות במאכל עצמו אלא בהכנות לו, כגון בניית תנור.</w:t>
      </w:r>
    </w:p>
  </w:footnote>
  <w:footnote w:id="2">
    <w:p w:rsidR="00F90916" w:rsidRPr="00F90916" w:rsidRDefault="00F90916" w:rsidP="00F90916">
      <w:pPr>
        <w:pStyle w:val="a6"/>
        <w:spacing w:line="360" w:lineRule="auto"/>
        <w:rPr>
          <w:sz w:val="14"/>
          <w:szCs w:val="14"/>
          <w:rtl/>
        </w:rPr>
      </w:pPr>
      <w:r w:rsidRPr="00F90916">
        <w:rPr>
          <w:rStyle w:val="a8"/>
          <w:sz w:val="14"/>
          <w:szCs w:val="14"/>
        </w:rPr>
        <w:footnoteRef/>
      </w:r>
      <w:r w:rsidRPr="00F90916">
        <w:rPr>
          <w:sz w:val="14"/>
          <w:szCs w:val="14"/>
          <w:rtl/>
        </w:rPr>
        <w:t xml:space="preserve"> </w:t>
      </w:r>
      <w:r w:rsidRPr="00F90916">
        <w:rPr>
          <w:rFonts w:hint="cs"/>
          <w:sz w:val="14"/>
          <w:szCs w:val="14"/>
          <w:rtl/>
        </w:rPr>
        <w:t>בקיצור מקור חיים נשמטה המילה 'לא', ויש להוסיפה כאן על פי מקור חיים המלא ועל פי המקורות שם (וכן מבואר בסעיף ו כאן).</w:t>
      </w:r>
    </w:p>
  </w:footnote>
  <w:footnote w:id="3">
    <w:p w:rsidR="00F90916" w:rsidRPr="00F90916" w:rsidRDefault="00F90916" w:rsidP="00F90916">
      <w:pPr>
        <w:pStyle w:val="a6"/>
        <w:spacing w:line="360" w:lineRule="auto"/>
        <w:rPr>
          <w:sz w:val="14"/>
          <w:szCs w:val="14"/>
          <w:rtl/>
        </w:rPr>
      </w:pPr>
      <w:r w:rsidRPr="00F90916">
        <w:rPr>
          <w:rStyle w:val="a8"/>
          <w:sz w:val="14"/>
          <w:szCs w:val="14"/>
        </w:rPr>
        <w:footnoteRef/>
      </w:r>
      <w:r w:rsidRPr="00F90916">
        <w:rPr>
          <w:sz w:val="14"/>
          <w:szCs w:val="14"/>
          <w:rtl/>
        </w:rPr>
        <w:t xml:space="preserve"> </w:t>
      </w:r>
      <w:r w:rsidRPr="00F90916">
        <w:rPr>
          <w:rFonts w:hint="cs"/>
          <w:sz w:val="14"/>
          <w:szCs w:val="14"/>
          <w:rtl/>
        </w:rPr>
        <w:t>בקיצור מקור חיים נוספה כאן המילה 'היתר'. מילה זו אינה נמצאת במקור חיים השלם וכן סותרת את הנכתב מיד אח"כ</w:t>
      </w:r>
      <w:r>
        <w:rPr>
          <w:rFonts w:hint="cs"/>
          <w:sz w:val="14"/>
          <w:szCs w:val="14"/>
          <w:rtl/>
        </w:rPr>
        <w:t xml:space="preserve"> שמהדין הדבר מותר, וכנראה נוספה </w:t>
      </w:r>
      <w:r w:rsidRPr="00F90916">
        <w:rPr>
          <w:rFonts w:hint="cs"/>
          <w:sz w:val="14"/>
          <w:szCs w:val="14"/>
          <w:rtl/>
        </w:rPr>
        <w:t xml:space="preserve">בטעות.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6B5" w:rsidRDefault="003F5133" w:rsidP="007106B5">
    <w:pPr>
      <w:pStyle w:val="a3"/>
      <w:rPr>
        <w:rtl/>
        <w:cs/>
      </w:rPr>
    </w:pPr>
    <w:r>
      <w:rPr>
        <w:noProof/>
        <w:rtl/>
      </w:rPr>
      <w:drawing>
        <wp:anchor distT="0" distB="0" distL="114300" distR="114300" simplePos="0" relativeHeight="251659264" behindDoc="1" locked="0" layoutInCell="1" allowOverlap="1">
          <wp:simplePos x="0" y="0"/>
          <wp:positionH relativeFrom="margin">
            <wp:align>center</wp:align>
          </wp:positionH>
          <wp:positionV relativeFrom="page">
            <wp:posOffset>476250</wp:posOffset>
          </wp:positionV>
          <wp:extent cx="2552700" cy="1342531"/>
          <wp:effectExtent l="0" t="0" r="0" b="0"/>
          <wp:wrapNone/>
          <wp:docPr id="58"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gi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52700" cy="1342531"/>
                  </a:xfrm>
                  <a:prstGeom prst="rect">
                    <a:avLst/>
                  </a:prstGeom>
                </pic:spPr>
              </pic:pic>
            </a:graphicData>
          </a:graphic>
        </wp:anchor>
      </w:drawing>
    </w:r>
  </w:p>
  <w:p w:rsidR="007106B5" w:rsidRDefault="003F513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B1179"/>
    <w:multiLevelType w:val="hybridMultilevel"/>
    <w:tmpl w:val="7EB6830C"/>
    <w:lvl w:ilvl="0" w:tplc="C326071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90916"/>
    <w:rsid w:val="003F5133"/>
    <w:rsid w:val="00847D87"/>
    <w:rsid w:val="00917B2C"/>
    <w:rsid w:val="00F9091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916"/>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0916"/>
    <w:pPr>
      <w:tabs>
        <w:tab w:val="center" w:pos="4153"/>
        <w:tab w:val="right" w:pos="8306"/>
      </w:tabs>
      <w:spacing w:after="0" w:line="240" w:lineRule="auto"/>
    </w:pPr>
  </w:style>
  <w:style w:type="character" w:customStyle="1" w:styleId="a4">
    <w:name w:val="כותרת עליונה תו"/>
    <w:basedOn w:val="a0"/>
    <w:link w:val="a3"/>
    <w:uiPriority w:val="99"/>
    <w:rsid w:val="00F90916"/>
  </w:style>
  <w:style w:type="paragraph" w:styleId="a5">
    <w:name w:val="List Paragraph"/>
    <w:basedOn w:val="a"/>
    <w:uiPriority w:val="34"/>
    <w:qFormat/>
    <w:rsid w:val="00F90916"/>
    <w:pPr>
      <w:spacing w:after="200" w:line="276" w:lineRule="auto"/>
      <w:ind w:left="720"/>
      <w:contextualSpacing/>
    </w:pPr>
  </w:style>
  <w:style w:type="paragraph" w:styleId="a6">
    <w:name w:val="footnote text"/>
    <w:basedOn w:val="a"/>
    <w:link w:val="a7"/>
    <w:uiPriority w:val="99"/>
    <w:semiHidden/>
    <w:unhideWhenUsed/>
    <w:rsid w:val="00F90916"/>
    <w:pPr>
      <w:spacing w:after="0" w:line="240" w:lineRule="auto"/>
    </w:pPr>
    <w:rPr>
      <w:sz w:val="20"/>
      <w:szCs w:val="20"/>
    </w:rPr>
  </w:style>
  <w:style w:type="character" w:customStyle="1" w:styleId="a7">
    <w:name w:val="טקסט הערת שוליים תו"/>
    <w:basedOn w:val="a0"/>
    <w:link w:val="a6"/>
    <w:uiPriority w:val="99"/>
    <w:semiHidden/>
    <w:rsid w:val="00F90916"/>
    <w:rPr>
      <w:sz w:val="20"/>
      <w:szCs w:val="20"/>
    </w:rPr>
  </w:style>
  <w:style w:type="character" w:styleId="a8">
    <w:name w:val="footnote reference"/>
    <w:basedOn w:val="a0"/>
    <w:uiPriority w:val="99"/>
    <w:semiHidden/>
    <w:unhideWhenUsed/>
    <w:rsid w:val="00F9091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1972</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2015-04-13T10:15:00Z</dcterms:created>
  <dcterms:modified xsi:type="dcterms:W3CDTF">2015-04-13T10:16:00Z</dcterms:modified>
</cp:coreProperties>
</file>