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994996" w:rsidRDefault="00994996">
      <w:pPr>
        <w:rPr>
          <w:rFonts w:hint="cs"/>
          <w:rtl/>
        </w:rPr>
      </w:pPr>
    </w:p>
    <w:p w:rsidR="00994996" w:rsidRDefault="00994996">
      <w:pPr>
        <w:rPr>
          <w:rFonts w:hint="cs"/>
          <w:rtl/>
        </w:rPr>
      </w:pPr>
    </w:p>
    <w:p w:rsidR="00994996" w:rsidRDefault="00994996">
      <w:pPr>
        <w:rPr>
          <w:rFonts w:hint="cs"/>
          <w:rtl/>
        </w:rPr>
      </w:pPr>
    </w:p>
    <w:tbl>
      <w:tblPr>
        <w:tblStyle w:val="aa"/>
        <w:tblpPr w:leftFromText="180" w:rightFromText="180" w:horzAnchor="margin" w:tblpY="2820"/>
        <w:bidiVisual/>
        <w:tblW w:w="0" w:type="auto"/>
        <w:tblLook w:val="04A0"/>
      </w:tblPr>
      <w:tblGrid>
        <w:gridCol w:w="2822"/>
        <w:gridCol w:w="2859"/>
        <w:gridCol w:w="2841"/>
      </w:tblGrid>
      <w:tr w:rsidR="00764CD9" w:rsidRPr="00B61FE0" w:rsidTr="00764CD9">
        <w:trPr>
          <w:trHeight w:val="191"/>
        </w:trPr>
        <w:tc>
          <w:tcPr>
            <w:tcW w:w="2822" w:type="dxa"/>
          </w:tcPr>
          <w:p w:rsidR="00764CD9" w:rsidRPr="00E660B4" w:rsidRDefault="00764CD9" w:rsidP="00764CD9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660B4">
              <w:rPr>
                <w:rFonts w:cs="David" w:hint="cs"/>
                <w:b/>
                <w:bCs/>
                <w:sz w:val="28"/>
                <w:szCs w:val="28"/>
                <w:rtl/>
              </w:rPr>
              <w:t>החכם</w:t>
            </w:r>
          </w:p>
        </w:tc>
        <w:tc>
          <w:tcPr>
            <w:tcW w:w="2859" w:type="dxa"/>
          </w:tcPr>
          <w:p w:rsidR="00764CD9" w:rsidRPr="00E660B4" w:rsidRDefault="00764CD9" w:rsidP="00764CD9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660B4">
              <w:rPr>
                <w:rFonts w:cs="David" w:hint="cs"/>
                <w:b/>
                <w:bCs/>
                <w:sz w:val="28"/>
                <w:szCs w:val="28"/>
                <w:rtl/>
              </w:rPr>
              <w:t>הדין</w:t>
            </w:r>
          </w:p>
        </w:tc>
        <w:tc>
          <w:tcPr>
            <w:tcW w:w="2841" w:type="dxa"/>
          </w:tcPr>
          <w:p w:rsidR="00764CD9" w:rsidRPr="00E660B4" w:rsidRDefault="00764CD9" w:rsidP="00764CD9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E660B4">
              <w:rPr>
                <w:rFonts w:cs="David" w:hint="cs"/>
                <w:b/>
                <w:bCs/>
                <w:sz w:val="28"/>
                <w:szCs w:val="28"/>
                <w:rtl/>
              </w:rPr>
              <w:t>הטעם / הסיבה</w:t>
            </w:r>
          </w:p>
        </w:tc>
      </w:tr>
      <w:tr w:rsidR="00764CD9" w:rsidRPr="00B61FE0" w:rsidTr="00764CD9">
        <w:trPr>
          <w:trHeight w:val="785"/>
        </w:trPr>
        <w:tc>
          <w:tcPr>
            <w:tcW w:w="2822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>רבי מאיר</w:t>
            </w:r>
          </w:p>
        </w:tc>
        <w:tc>
          <w:tcPr>
            <w:tcW w:w="2859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 xml:space="preserve">מלאכה שהתחיל בה מלפני יד' ניסן יכול להמשיך ולסיימה ב-יד' </w:t>
            </w:r>
          </w:p>
        </w:tc>
        <w:tc>
          <w:tcPr>
            <w:tcW w:w="2841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 xml:space="preserve">בתנאי שהיא נצרכת לחג </w:t>
            </w:r>
            <w:r w:rsidRPr="00B61FE0">
              <w:rPr>
                <w:rFonts w:cs="David"/>
                <w:rtl/>
              </w:rPr>
              <w:t>–</w:t>
            </w:r>
            <w:r w:rsidRPr="00B61FE0">
              <w:rPr>
                <w:rFonts w:cs="David" w:hint="cs"/>
                <w:rtl/>
              </w:rPr>
              <w:t xml:space="preserve"> פעולה שהתחיל בה אין לו לעצור בה למרות המנהג כי כולם ראו שהתחיל ואין בזה זלזול</w:t>
            </w:r>
          </w:p>
        </w:tc>
      </w:tr>
      <w:tr w:rsidR="00764CD9" w:rsidRPr="00B61FE0" w:rsidTr="00764CD9">
        <w:trPr>
          <w:trHeight w:val="986"/>
        </w:trPr>
        <w:tc>
          <w:tcPr>
            <w:tcW w:w="2822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>חכמים</w:t>
            </w:r>
          </w:p>
        </w:tc>
        <w:tc>
          <w:tcPr>
            <w:tcW w:w="2859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 xml:space="preserve">חייטים , ספרים , </w:t>
            </w:r>
            <w:proofErr w:type="spellStart"/>
            <w:r w:rsidRPr="00B61FE0">
              <w:rPr>
                <w:rFonts w:cs="David" w:hint="cs"/>
                <w:rtl/>
              </w:rPr>
              <w:t>וכובסים</w:t>
            </w:r>
            <w:proofErr w:type="spellEnd"/>
            <w:r w:rsidRPr="00B61FE0">
              <w:rPr>
                <w:rFonts w:cs="David" w:hint="cs"/>
                <w:rtl/>
              </w:rPr>
              <w:t xml:space="preserve"> </w:t>
            </w:r>
            <w:r w:rsidRPr="00B61FE0">
              <w:rPr>
                <w:rFonts w:cs="David"/>
                <w:rtl/>
              </w:rPr>
              <w:t>–</w:t>
            </w:r>
            <w:r w:rsidRPr="00B61FE0">
              <w:rPr>
                <w:rFonts w:cs="David" w:hint="cs"/>
                <w:rtl/>
              </w:rPr>
              <w:t xml:space="preserve"> מותרים לעסוק במלאכתם עד חצות</w:t>
            </w:r>
          </w:p>
        </w:tc>
        <w:tc>
          <w:tcPr>
            <w:tcW w:w="2841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 xml:space="preserve">אילו מלאכות שיהודים זקוקים להסתפר לפני החג (ספירת העומר) וכן תפירת הבגדים וכביסה לחג </w:t>
            </w:r>
            <w:r w:rsidRPr="00B61FE0">
              <w:rPr>
                <w:rFonts w:cs="David"/>
                <w:rtl/>
              </w:rPr>
              <w:t>–</w:t>
            </w:r>
            <w:r w:rsidRPr="00B61FE0">
              <w:rPr>
                <w:rFonts w:cs="David" w:hint="cs"/>
                <w:rtl/>
              </w:rPr>
              <w:t xml:space="preserve"> ולכן אין זלזול במנהג אלא להיפך זהו צורך החג</w:t>
            </w:r>
          </w:p>
        </w:tc>
      </w:tr>
      <w:tr w:rsidR="00764CD9" w:rsidRPr="00B61FE0" w:rsidTr="00764CD9">
        <w:trPr>
          <w:trHeight w:val="594"/>
        </w:trPr>
        <w:tc>
          <w:tcPr>
            <w:tcW w:w="2822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</w:t>
            </w:r>
            <w:r w:rsidRPr="00B61FE0">
              <w:rPr>
                <w:rFonts w:cs="David" w:hint="cs"/>
                <w:rtl/>
              </w:rPr>
              <w:t>בי יוסי בר יהודה</w:t>
            </w:r>
          </w:p>
        </w:tc>
        <w:tc>
          <w:tcPr>
            <w:tcW w:w="2859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 xml:space="preserve">גם הרצענים </w:t>
            </w:r>
            <w:r w:rsidRPr="00B61FE0">
              <w:rPr>
                <w:rFonts w:cs="David"/>
                <w:rtl/>
              </w:rPr>
              <w:t>–</w:t>
            </w:r>
            <w:r w:rsidRPr="00B61FE0">
              <w:rPr>
                <w:rFonts w:cs="David" w:hint="cs"/>
                <w:rtl/>
              </w:rPr>
              <w:t xml:space="preserve"> עושים מלאכה</w:t>
            </w:r>
          </w:p>
        </w:tc>
        <w:tc>
          <w:tcPr>
            <w:tcW w:w="2841" w:type="dxa"/>
          </w:tcPr>
          <w:p w:rsidR="00764CD9" w:rsidRPr="00B61FE0" w:rsidRDefault="00764CD9" w:rsidP="00764CD9">
            <w:pPr>
              <w:rPr>
                <w:rFonts w:cs="David"/>
                <w:rtl/>
              </w:rPr>
            </w:pPr>
            <w:r w:rsidRPr="00B61FE0">
              <w:rPr>
                <w:rFonts w:cs="David" w:hint="cs"/>
                <w:rtl/>
              </w:rPr>
              <w:t>שהרי אפילו בחול המועד התירו לתקן הנעליים ק"ו בערב החג שהוא קל יותר מחול המועד</w:t>
            </w:r>
          </w:p>
        </w:tc>
      </w:tr>
    </w:tbl>
    <w:p w:rsidR="00994996" w:rsidRPr="00764CD9" w:rsidRDefault="00994996" w:rsidP="00764CD9">
      <w:pPr>
        <w:pStyle w:val="a9"/>
        <w:ind w:left="420"/>
      </w:pPr>
    </w:p>
    <w:sectPr w:rsidR="00994996" w:rsidRPr="00764CD9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45" w:rsidRDefault="00314645" w:rsidP="007106B5">
      <w:pPr>
        <w:spacing w:after="0" w:line="240" w:lineRule="auto"/>
      </w:pPr>
      <w:r>
        <w:separator/>
      </w:r>
    </w:p>
  </w:endnote>
  <w:endnote w:type="continuationSeparator" w:id="0">
    <w:p w:rsidR="00314645" w:rsidRDefault="0031464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45" w:rsidRDefault="00314645" w:rsidP="007106B5">
      <w:pPr>
        <w:spacing w:after="0" w:line="240" w:lineRule="auto"/>
      </w:pPr>
      <w:r>
        <w:separator/>
      </w:r>
    </w:p>
  </w:footnote>
  <w:footnote w:type="continuationSeparator" w:id="0">
    <w:p w:rsidR="00314645" w:rsidRDefault="0031464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3C3B"/>
    <w:multiLevelType w:val="hybridMultilevel"/>
    <w:tmpl w:val="4E903AB0"/>
    <w:lvl w:ilvl="0" w:tplc="E432D34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314645"/>
    <w:rsid w:val="003610AC"/>
    <w:rsid w:val="007106B5"/>
    <w:rsid w:val="00764CD9"/>
    <w:rsid w:val="00994996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994996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76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2015-04-13T07:47:00Z</dcterms:created>
  <dcterms:modified xsi:type="dcterms:W3CDTF">2015-04-13T07:47:00Z</dcterms:modified>
</cp:coreProperties>
</file>