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Pr="00254B33" w:rsidRDefault="00D62840" w:rsidP="00254B33">
      <w:pPr>
        <w:spacing w:line="360" w:lineRule="auto"/>
        <w:contextualSpacing/>
        <w:rPr>
          <w:rFonts w:cs="David" w:hint="cs"/>
          <w:rtl/>
        </w:rPr>
      </w:pPr>
      <w:bookmarkStart w:id="0" w:name="_GoBack"/>
      <w:bookmarkEnd w:id="0"/>
    </w:p>
    <w:p w:rsidR="00254B33" w:rsidRPr="00254B33" w:rsidRDefault="00254B33" w:rsidP="00254B33">
      <w:pPr>
        <w:spacing w:line="360" w:lineRule="auto"/>
        <w:contextualSpacing/>
        <w:rPr>
          <w:rFonts w:cs="David" w:hint="cs"/>
          <w:rtl/>
        </w:rPr>
      </w:pPr>
    </w:p>
    <w:p w:rsidR="00254B33" w:rsidRPr="00254B33" w:rsidRDefault="00254B33" w:rsidP="00254B33">
      <w:pPr>
        <w:spacing w:line="360" w:lineRule="auto"/>
        <w:contextualSpacing/>
        <w:rPr>
          <w:rFonts w:cs="David" w:hint="cs"/>
          <w:rtl/>
        </w:rPr>
      </w:pPr>
    </w:p>
    <w:p w:rsidR="00254B33" w:rsidRPr="00254B33" w:rsidRDefault="00254B33" w:rsidP="00254B33">
      <w:pPr>
        <w:spacing w:line="360" w:lineRule="auto"/>
        <w:contextualSpacing/>
        <w:rPr>
          <w:rFonts w:cs="David" w:hint="cs"/>
          <w:rtl/>
        </w:rPr>
      </w:pPr>
    </w:p>
    <w:p w:rsidR="00254B33" w:rsidRPr="00254B33" w:rsidRDefault="00254B33" w:rsidP="00254B33">
      <w:pPr>
        <w:spacing w:line="360" w:lineRule="auto"/>
        <w:contextualSpacing/>
        <w:rPr>
          <w:rFonts w:cs="David"/>
          <w:b/>
          <w:bCs/>
          <w:color w:val="252525"/>
          <w:sz w:val="24"/>
          <w:szCs w:val="24"/>
          <w:shd w:val="clear" w:color="auto" w:fill="FFFFFF"/>
          <w:rtl/>
        </w:rPr>
      </w:pPr>
      <w:r w:rsidRPr="00254B33">
        <w:rPr>
          <w:rFonts w:cs="David" w:hint="cs"/>
          <w:b/>
          <w:bCs/>
          <w:color w:val="252525"/>
          <w:sz w:val="24"/>
          <w:szCs w:val="24"/>
          <w:shd w:val="clear" w:color="auto" w:fill="FFFFFF"/>
          <w:rtl/>
        </w:rPr>
        <w:t>הסבר המשנה:</w:t>
      </w:r>
    </w:p>
    <w:p w:rsidR="00254B33" w:rsidRPr="00254B33" w:rsidRDefault="00254B33" w:rsidP="00254B33">
      <w:pPr>
        <w:spacing w:line="360" w:lineRule="auto"/>
        <w:contextualSpacing/>
        <w:rPr>
          <w:rFonts w:cs="David"/>
          <w:color w:val="252525"/>
          <w:sz w:val="24"/>
          <w:szCs w:val="24"/>
          <w:shd w:val="clear" w:color="auto" w:fill="FFFFFF"/>
          <w:rtl/>
        </w:rPr>
      </w:pPr>
      <w:r w:rsidRPr="00254B33">
        <w:rPr>
          <w:rFonts w:cs="David" w:hint="cs"/>
          <w:color w:val="252525"/>
          <w:sz w:val="24"/>
          <w:szCs w:val="24"/>
          <w:shd w:val="clear" w:color="auto" w:fill="FFFFFF"/>
          <w:rtl/>
        </w:rPr>
        <w:t>דף ההסבר הזה, מכיל הסברים קצרים על כל מצווה. הדף מיועד למורים, אך עם זאת ישנה אפשרות להשתמש בו גם לתלמידים. ניתן להחסיר חלק מן ההגדרות ולבקש מן התלמידים להשלים את החסר, אפשרות נוספת היא לבלבל את ההגדרות ולבקש מן התלמידים לשדך בין ההגדרה למצווה המתאימה לה.</w:t>
      </w:r>
    </w:p>
    <w:p w:rsidR="00254B33" w:rsidRPr="00254B33" w:rsidRDefault="00254B33" w:rsidP="00254B33">
      <w:pPr>
        <w:spacing w:line="360" w:lineRule="auto"/>
        <w:contextualSpacing/>
        <w:rPr>
          <w:rFonts w:cs="David"/>
          <w:color w:val="252525"/>
          <w:sz w:val="24"/>
          <w:szCs w:val="24"/>
          <w:shd w:val="clear" w:color="auto" w:fill="FFFFFF"/>
          <w:rtl/>
        </w:rPr>
      </w:pPr>
    </w:p>
    <w:p w:rsidR="00254B33" w:rsidRPr="00254B33" w:rsidRDefault="00254B33" w:rsidP="00254B33">
      <w:pPr>
        <w:spacing w:line="360" w:lineRule="auto"/>
        <w:contextualSpacing/>
        <w:rPr>
          <w:rFonts w:cs="David"/>
          <w:sz w:val="24"/>
          <w:szCs w:val="24"/>
          <w:rtl/>
        </w:rPr>
      </w:pPr>
      <w:r w:rsidRPr="00254B33">
        <w:rPr>
          <w:rFonts w:cs="David" w:hint="cs"/>
          <w:color w:val="252525"/>
          <w:sz w:val="24"/>
          <w:szCs w:val="24"/>
          <w:shd w:val="clear" w:color="auto" w:fill="FFFFFF"/>
          <w:rtl/>
        </w:rPr>
        <w:t>כָּל הַיּוֹם כָּשֵׁר</w:t>
      </w:r>
      <w:r w:rsidRPr="00254B33">
        <w:rPr>
          <w:rFonts w:cs="David" w:hint="cs"/>
          <w:color w:val="252525"/>
          <w:sz w:val="38"/>
          <w:szCs w:val="38"/>
        </w:rPr>
        <w:br/>
      </w:r>
      <w:r w:rsidRPr="00254B33">
        <w:rPr>
          <w:rFonts w:cs="David" w:hint="cs"/>
          <w:color w:val="252525"/>
          <w:sz w:val="24"/>
          <w:szCs w:val="24"/>
          <w:shd w:val="clear" w:color="auto" w:fill="FFFFFF"/>
          <w:rtl/>
        </w:rPr>
        <w:t>לִקְרִיאַת הַמְּגִלָּה</w:t>
      </w:r>
      <w:r w:rsidRPr="00254B33">
        <w:rPr>
          <w:rFonts w:cs="David" w:hint="cs"/>
          <w:color w:val="252525"/>
          <w:sz w:val="24"/>
          <w:szCs w:val="24"/>
          <w:shd w:val="clear" w:color="auto" w:fill="FFFFFF"/>
        </w:rPr>
        <w:t>,</w:t>
      </w:r>
      <w:r w:rsidRPr="00254B33">
        <w:rPr>
          <w:rFonts w:cs="David" w:hint="cs"/>
          <w:color w:val="252525"/>
          <w:sz w:val="24"/>
          <w:szCs w:val="24"/>
          <w:rtl/>
        </w:rPr>
        <w:t>- קריאת מגילה בפורים ביום</w:t>
      </w:r>
      <w:r w:rsidRPr="00254B33">
        <w:rPr>
          <w:rFonts w:cs="David" w:hint="cs"/>
          <w:color w:val="252525"/>
          <w:sz w:val="24"/>
          <w:szCs w:val="24"/>
        </w:rPr>
        <w:br/>
      </w:r>
      <w:r w:rsidRPr="00254B33">
        <w:rPr>
          <w:rFonts w:cs="David" w:hint="cs"/>
          <w:color w:val="252525"/>
          <w:sz w:val="24"/>
          <w:szCs w:val="24"/>
          <w:shd w:val="clear" w:color="auto" w:fill="FFFFFF"/>
          <w:rtl/>
        </w:rPr>
        <w:t>וְלִקְרִיאַת הַהַלֵּל</w:t>
      </w:r>
      <w:r w:rsidRPr="00254B33">
        <w:rPr>
          <w:rFonts w:cs="David" w:hint="cs"/>
          <w:color w:val="252525"/>
          <w:sz w:val="24"/>
          <w:szCs w:val="24"/>
          <w:shd w:val="clear" w:color="auto" w:fill="FFFFFF"/>
        </w:rPr>
        <w:t>,</w:t>
      </w:r>
      <w:r w:rsidRPr="00254B33">
        <w:rPr>
          <w:rFonts w:cs="David" w:hint="cs"/>
          <w:color w:val="252525"/>
          <w:sz w:val="24"/>
          <w:szCs w:val="24"/>
          <w:rtl/>
        </w:rPr>
        <w:t xml:space="preserve"> - בראשי חדשים,ימים טובים וחול המועד, יום העצמאות , חנוכה</w:t>
      </w:r>
      <w:r w:rsidRPr="00254B33">
        <w:rPr>
          <w:rFonts w:cs="David" w:hint="cs"/>
          <w:color w:val="252525"/>
          <w:sz w:val="24"/>
          <w:szCs w:val="24"/>
        </w:rPr>
        <w:br/>
      </w:r>
      <w:r w:rsidRPr="00254B33">
        <w:rPr>
          <w:rFonts w:cs="David" w:hint="cs"/>
          <w:color w:val="252525"/>
          <w:sz w:val="24"/>
          <w:szCs w:val="24"/>
          <w:shd w:val="clear" w:color="auto" w:fill="FFFFFF"/>
          <w:rtl/>
        </w:rPr>
        <w:t>וְלִתְקִ</w:t>
      </w:r>
      <w:proofErr w:type="spellStart"/>
      <w:r w:rsidRPr="00254B33">
        <w:rPr>
          <w:rFonts w:cs="David" w:hint="cs"/>
          <w:color w:val="252525"/>
          <w:sz w:val="24"/>
          <w:szCs w:val="24"/>
          <w:shd w:val="clear" w:color="auto" w:fill="FFFFFF"/>
          <w:rtl/>
        </w:rPr>
        <w:t>יעַת</w:t>
      </w:r>
      <w:proofErr w:type="spellEnd"/>
      <w:r w:rsidRPr="00254B33">
        <w:rPr>
          <w:rFonts w:cs="David" w:hint="cs"/>
          <w:color w:val="252525"/>
          <w:sz w:val="24"/>
          <w:szCs w:val="24"/>
          <w:shd w:val="clear" w:color="auto" w:fill="FFFFFF"/>
          <w:rtl/>
        </w:rPr>
        <w:t xml:space="preserve"> הַשּׁוֹפָר</w:t>
      </w:r>
      <w:r w:rsidRPr="00254B33">
        <w:rPr>
          <w:rFonts w:cs="David" w:hint="cs"/>
          <w:color w:val="252525"/>
          <w:sz w:val="24"/>
          <w:szCs w:val="24"/>
          <w:shd w:val="clear" w:color="auto" w:fill="FFFFFF"/>
        </w:rPr>
        <w:t>,</w:t>
      </w:r>
      <w:r w:rsidRPr="00254B33">
        <w:rPr>
          <w:rFonts w:cs="David" w:hint="cs"/>
          <w:color w:val="252525"/>
          <w:sz w:val="24"/>
          <w:szCs w:val="24"/>
          <w:rtl/>
        </w:rPr>
        <w:t xml:space="preserve"> - בראש השנה בשני הימים</w:t>
      </w:r>
      <w:r w:rsidRPr="00254B33">
        <w:rPr>
          <w:rFonts w:cs="David" w:hint="cs"/>
          <w:color w:val="252525"/>
          <w:sz w:val="24"/>
          <w:szCs w:val="24"/>
        </w:rPr>
        <w:br/>
      </w:r>
      <w:r w:rsidRPr="00254B33">
        <w:rPr>
          <w:rFonts w:cs="David" w:hint="cs"/>
          <w:color w:val="252525"/>
          <w:sz w:val="24"/>
          <w:szCs w:val="24"/>
          <w:shd w:val="clear" w:color="auto" w:fill="FFFFFF"/>
          <w:rtl/>
        </w:rPr>
        <w:t>וְלִנְטִילַת הַלּוּלָב</w:t>
      </w:r>
      <w:r w:rsidRPr="00254B33">
        <w:rPr>
          <w:rFonts w:cs="David" w:hint="cs"/>
          <w:color w:val="252525"/>
          <w:sz w:val="24"/>
          <w:szCs w:val="24"/>
          <w:shd w:val="clear" w:color="auto" w:fill="FFFFFF"/>
        </w:rPr>
        <w:t>,</w:t>
      </w:r>
      <w:r w:rsidRPr="00254B33">
        <w:rPr>
          <w:rFonts w:cs="David" w:hint="cs"/>
          <w:color w:val="252525"/>
          <w:sz w:val="24"/>
          <w:szCs w:val="24"/>
          <w:rtl/>
        </w:rPr>
        <w:t xml:space="preserve"> - מצוות הלולב בסוכות</w:t>
      </w:r>
      <w:r w:rsidRPr="00254B33">
        <w:rPr>
          <w:rFonts w:cs="David" w:hint="cs"/>
          <w:color w:val="252525"/>
          <w:sz w:val="24"/>
          <w:szCs w:val="24"/>
        </w:rPr>
        <w:br/>
      </w:r>
      <w:r w:rsidRPr="00254B33">
        <w:rPr>
          <w:rFonts w:cs="David" w:hint="cs"/>
          <w:color w:val="252525"/>
          <w:sz w:val="24"/>
          <w:szCs w:val="24"/>
          <w:shd w:val="clear" w:color="auto" w:fill="FFFFFF"/>
          <w:rtl/>
        </w:rPr>
        <w:t>וְלִתְפ</w:t>
      </w:r>
      <w:proofErr w:type="spellStart"/>
      <w:r w:rsidRPr="00254B33">
        <w:rPr>
          <w:rFonts w:cs="David" w:hint="cs"/>
          <w:color w:val="252525"/>
          <w:sz w:val="24"/>
          <w:szCs w:val="24"/>
          <w:shd w:val="clear" w:color="auto" w:fill="FFFFFF"/>
          <w:rtl/>
        </w:rPr>
        <w:t>ִלַּת</w:t>
      </w:r>
      <w:proofErr w:type="spellEnd"/>
      <w:r w:rsidRPr="00254B33">
        <w:rPr>
          <w:rFonts w:cs="David" w:hint="cs"/>
          <w:color w:val="252525"/>
          <w:sz w:val="24"/>
          <w:szCs w:val="24"/>
          <w:shd w:val="clear" w:color="auto" w:fill="FFFFFF"/>
          <w:rtl/>
        </w:rPr>
        <w:t xml:space="preserve"> </w:t>
      </w:r>
      <w:proofErr w:type="spellStart"/>
      <w:r w:rsidRPr="00254B33">
        <w:rPr>
          <w:rFonts w:cs="David" w:hint="cs"/>
          <w:color w:val="252525"/>
          <w:sz w:val="24"/>
          <w:szCs w:val="24"/>
          <w:shd w:val="clear" w:color="auto" w:fill="FFFFFF"/>
          <w:rtl/>
        </w:rPr>
        <w:t>הַמּוּס</w:t>
      </w:r>
      <w:proofErr w:type="spellEnd"/>
      <w:r w:rsidRPr="00254B33">
        <w:rPr>
          <w:rFonts w:cs="David" w:hint="cs"/>
          <w:color w:val="252525"/>
          <w:sz w:val="24"/>
          <w:szCs w:val="24"/>
          <w:shd w:val="clear" w:color="auto" w:fill="FFFFFF"/>
          <w:rtl/>
        </w:rPr>
        <w:t>ָפִין</w:t>
      </w:r>
      <w:r w:rsidRPr="00254B33">
        <w:rPr>
          <w:rFonts w:cs="David" w:hint="cs"/>
          <w:color w:val="252525"/>
          <w:sz w:val="24"/>
          <w:szCs w:val="24"/>
          <w:shd w:val="clear" w:color="auto" w:fill="FFFFFF"/>
        </w:rPr>
        <w:t>,</w:t>
      </w:r>
      <w:r w:rsidRPr="00254B33">
        <w:rPr>
          <w:rFonts w:cs="David" w:hint="cs"/>
          <w:color w:val="252525"/>
          <w:sz w:val="24"/>
          <w:szCs w:val="24"/>
          <w:rtl/>
        </w:rPr>
        <w:t xml:space="preserve"> - בחגים שבתות ראשי חדשים ראש השנה ויום הכיפורים</w:t>
      </w:r>
      <w:r w:rsidRPr="00254B33">
        <w:rPr>
          <w:rFonts w:cs="David" w:hint="cs"/>
          <w:color w:val="252525"/>
          <w:sz w:val="24"/>
          <w:szCs w:val="24"/>
        </w:rPr>
        <w:br/>
      </w:r>
      <w:proofErr w:type="spellStart"/>
      <w:r w:rsidRPr="00254B33">
        <w:rPr>
          <w:rFonts w:cs="David" w:hint="cs"/>
          <w:color w:val="252525"/>
          <w:sz w:val="24"/>
          <w:szCs w:val="24"/>
          <w:shd w:val="clear" w:color="auto" w:fill="FFFFFF"/>
          <w:rtl/>
        </w:rPr>
        <w:t>וְלַמּוּ</w:t>
      </w:r>
      <w:proofErr w:type="spellEnd"/>
      <w:r w:rsidRPr="00254B33">
        <w:rPr>
          <w:rFonts w:cs="David" w:hint="cs"/>
          <w:color w:val="252525"/>
          <w:sz w:val="24"/>
          <w:szCs w:val="24"/>
          <w:shd w:val="clear" w:color="auto" w:fill="FFFFFF"/>
          <w:rtl/>
        </w:rPr>
        <w:t>סָפִין</w:t>
      </w:r>
      <w:r w:rsidRPr="00254B33">
        <w:rPr>
          <w:rFonts w:cs="David" w:hint="cs"/>
          <w:color w:val="252525"/>
          <w:sz w:val="24"/>
          <w:szCs w:val="24"/>
          <w:shd w:val="clear" w:color="auto" w:fill="FFFFFF"/>
        </w:rPr>
        <w:t>,</w:t>
      </w:r>
      <w:r w:rsidRPr="00254B33">
        <w:rPr>
          <w:rFonts w:cs="David" w:hint="cs"/>
          <w:color w:val="252525"/>
          <w:sz w:val="24"/>
          <w:szCs w:val="24"/>
          <w:rtl/>
        </w:rPr>
        <w:t xml:space="preserve"> - קרבנות מוסף בבית המקדש</w:t>
      </w:r>
      <w:r w:rsidRPr="00254B33">
        <w:rPr>
          <w:rFonts w:cs="David" w:hint="cs"/>
          <w:color w:val="252525"/>
          <w:sz w:val="24"/>
          <w:szCs w:val="24"/>
        </w:rPr>
        <w:br/>
      </w:r>
      <w:proofErr w:type="spellStart"/>
      <w:r w:rsidRPr="00254B33">
        <w:rPr>
          <w:rFonts w:cs="David" w:hint="cs"/>
          <w:color w:val="252525"/>
          <w:sz w:val="24"/>
          <w:szCs w:val="24"/>
          <w:shd w:val="clear" w:color="auto" w:fill="FFFFFF"/>
          <w:rtl/>
        </w:rPr>
        <w:t>וּלְוִדּו</w:t>
      </w:r>
      <w:proofErr w:type="spellEnd"/>
      <w:r w:rsidRPr="00254B33">
        <w:rPr>
          <w:rFonts w:cs="David" w:hint="cs"/>
          <w:color w:val="252525"/>
          <w:sz w:val="24"/>
          <w:szCs w:val="24"/>
          <w:shd w:val="clear" w:color="auto" w:fill="FFFFFF"/>
          <w:rtl/>
        </w:rPr>
        <w:t>ּי הַפָּרִים</w:t>
      </w:r>
      <w:r w:rsidRPr="00254B33">
        <w:rPr>
          <w:rFonts w:cs="David" w:hint="cs"/>
          <w:color w:val="252525"/>
          <w:sz w:val="24"/>
          <w:szCs w:val="24"/>
          <w:shd w:val="clear" w:color="auto" w:fill="FFFFFF"/>
        </w:rPr>
        <w:t>,</w:t>
      </w:r>
      <w:r w:rsidRPr="00254B33">
        <w:rPr>
          <w:rFonts w:cs="David" w:hint="cs"/>
          <w:color w:val="252525"/>
          <w:sz w:val="24"/>
          <w:szCs w:val="24"/>
          <w:rtl/>
        </w:rPr>
        <w:t xml:space="preserve"> - הוידוי שמתוודה הכהן בעת הקרבת פרים בבית המקדש</w:t>
      </w:r>
      <w:r w:rsidRPr="00254B33">
        <w:rPr>
          <w:rFonts w:cs="David" w:hint="cs"/>
          <w:color w:val="252525"/>
          <w:sz w:val="24"/>
          <w:szCs w:val="24"/>
        </w:rPr>
        <w:br/>
      </w:r>
      <w:proofErr w:type="spellStart"/>
      <w:r w:rsidRPr="00254B33">
        <w:rPr>
          <w:rFonts w:cs="David" w:hint="cs"/>
          <w:color w:val="252525"/>
          <w:sz w:val="24"/>
          <w:szCs w:val="24"/>
          <w:shd w:val="clear" w:color="auto" w:fill="FFFFFF"/>
          <w:rtl/>
        </w:rPr>
        <w:t>וּלְוִדּו</w:t>
      </w:r>
      <w:proofErr w:type="spellEnd"/>
      <w:r w:rsidRPr="00254B33">
        <w:rPr>
          <w:rFonts w:cs="David" w:hint="cs"/>
          <w:color w:val="252525"/>
          <w:sz w:val="24"/>
          <w:szCs w:val="24"/>
          <w:shd w:val="clear" w:color="auto" w:fill="FFFFFF"/>
          <w:rtl/>
        </w:rPr>
        <w:t>ּי הַמַּעֲשֵׂר</w:t>
      </w:r>
      <w:r w:rsidRPr="00254B33">
        <w:rPr>
          <w:rFonts w:cs="David" w:hint="cs"/>
          <w:color w:val="252525"/>
          <w:sz w:val="24"/>
          <w:szCs w:val="24"/>
          <w:shd w:val="clear" w:color="auto" w:fill="FFFFFF"/>
        </w:rPr>
        <w:t>,</w:t>
      </w:r>
      <w:r w:rsidRPr="00254B33">
        <w:rPr>
          <w:rFonts w:cs="David" w:hint="cs"/>
          <w:color w:val="252525"/>
          <w:sz w:val="24"/>
          <w:szCs w:val="24"/>
          <w:rtl/>
        </w:rPr>
        <w:t xml:space="preserve"> - הוידוי שאומר האדם בעת ביעור המעשרות שנותרו בידי האדם מעבר לזמן המותר</w:t>
      </w:r>
      <w:r w:rsidRPr="00254B33">
        <w:rPr>
          <w:rFonts w:cs="David" w:hint="cs"/>
          <w:color w:val="252525"/>
          <w:sz w:val="24"/>
          <w:szCs w:val="24"/>
        </w:rPr>
        <w:br/>
      </w:r>
      <w:proofErr w:type="spellStart"/>
      <w:r w:rsidRPr="00254B33">
        <w:rPr>
          <w:rFonts w:cs="David" w:hint="cs"/>
          <w:color w:val="252525"/>
          <w:sz w:val="24"/>
          <w:szCs w:val="24"/>
          <w:shd w:val="clear" w:color="auto" w:fill="FFFFFF"/>
          <w:rtl/>
        </w:rPr>
        <w:t>וּלְוִדּו</w:t>
      </w:r>
      <w:proofErr w:type="spellEnd"/>
      <w:r w:rsidRPr="00254B33">
        <w:rPr>
          <w:rFonts w:cs="David" w:hint="cs"/>
          <w:color w:val="252525"/>
          <w:sz w:val="24"/>
          <w:szCs w:val="24"/>
          <w:shd w:val="clear" w:color="auto" w:fill="FFFFFF"/>
          <w:rtl/>
        </w:rPr>
        <w:t>ּי יוֹם הַכִּפּוּרִים</w:t>
      </w:r>
      <w:r w:rsidRPr="00254B33">
        <w:rPr>
          <w:rFonts w:cs="David" w:hint="cs"/>
          <w:color w:val="252525"/>
          <w:sz w:val="24"/>
          <w:szCs w:val="24"/>
          <w:shd w:val="clear" w:color="auto" w:fill="FFFFFF"/>
        </w:rPr>
        <w:t>.</w:t>
      </w:r>
      <w:r w:rsidRPr="00254B33">
        <w:rPr>
          <w:rFonts w:cs="David" w:hint="cs"/>
          <w:sz w:val="24"/>
          <w:szCs w:val="24"/>
          <w:rtl/>
        </w:rPr>
        <w:t xml:space="preserve"> </w:t>
      </w:r>
      <w:r w:rsidRPr="00254B33">
        <w:rPr>
          <w:rFonts w:cs="David"/>
          <w:sz w:val="24"/>
          <w:szCs w:val="24"/>
          <w:rtl/>
        </w:rPr>
        <w:t>–</w:t>
      </w:r>
      <w:r w:rsidRPr="00254B33">
        <w:rPr>
          <w:rFonts w:cs="David" w:hint="cs"/>
          <w:sz w:val="24"/>
          <w:szCs w:val="24"/>
          <w:rtl/>
        </w:rPr>
        <w:t xml:space="preserve"> הוידוי ביום כיפור על העוונות</w:t>
      </w:r>
    </w:p>
    <w:p w:rsidR="00254B33" w:rsidRPr="00254B33" w:rsidRDefault="00254B33" w:rsidP="00254B33">
      <w:pPr>
        <w:spacing w:line="360" w:lineRule="auto"/>
        <w:contextualSpacing/>
        <w:rPr>
          <w:rFonts w:cs="David"/>
          <w:sz w:val="24"/>
          <w:szCs w:val="24"/>
          <w:rtl/>
        </w:rPr>
      </w:pPr>
      <w:r w:rsidRPr="00254B33">
        <w:rPr>
          <w:rFonts w:cs="David" w:hint="cs"/>
          <w:sz w:val="24"/>
          <w:szCs w:val="24"/>
          <w:rtl/>
        </w:rPr>
        <w:t xml:space="preserve">לסמיכה </w:t>
      </w:r>
      <w:r w:rsidRPr="00254B33">
        <w:rPr>
          <w:rFonts w:cs="David"/>
          <w:sz w:val="24"/>
          <w:szCs w:val="24"/>
          <w:rtl/>
        </w:rPr>
        <w:t>–</w:t>
      </w:r>
      <w:r w:rsidRPr="00254B33">
        <w:rPr>
          <w:rFonts w:cs="David" w:hint="cs"/>
          <w:sz w:val="24"/>
          <w:szCs w:val="24"/>
          <w:rtl/>
        </w:rPr>
        <w:t xml:space="preserve"> הכהן סומך את ידיו על ראש הקרבן</w:t>
      </w:r>
    </w:p>
    <w:p w:rsidR="00254B33" w:rsidRPr="00254B33" w:rsidRDefault="00254B33" w:rsidP="00254B33">
      <w:pPr>
        <w:spacing w:line="360" w:lineRule="auto"/>
        <w:contextualSpacing/>
        <w:rPr>
          <w:rFonts w:cs="David"/>
          <w:sz w:val="24"/>
          <w:szCs w:val="24"/>
          <w:rtl/>
        </w:rPr>
      </w:pPr>
      <w:r w:rsidRPr="00254B33">
        <w:rPr>
          <w:rFonts w:cs="David" w:hint="cs"/>
          <w:sz w:val="24"/>
          <w:szCs w:val="24"/>
          <w:rtl/>
        </w:rPr>
        <w:t xml:space="preserve">לשחיטה </w:t>
      </w:r>
      <w:r w:rsidRPr="00254B33">
        <w:rPr>
          <w:rFonts w:cs="David"/>
          <w:sz w:val="24"/>
          <w:szCs w:val="24"/>
          <w:rtl/>
        </w:rPr>
        <w:t>–</w:t>
      </w:r>
      <w:r w:rsidRPr="00254B33">
        <w:rPr>
          <w:rFonts w:cs="David" w:hint="cs"/>
          <w:sz w:val="24"/>
          <w:szCs w:val="24"/>
          <w:rtl/>
        </w:rPr>
        <w:t xml:space="preserve"> שחיטת הקרבנות בבית המקדש</w:t>
      </w:r>
    </w:p>
    <w:p w:rsidR="00254B33" w:rsidRPr="00254B33" w:rsidRDefault="00254B33" w:rsidP="00254B33">
      <w:pPr>
        <w:spacing w:line="360" w:lineRule="auto"/>
        <w:contextualSpacing/>
        <w:rPr>
          <w:rFonts w:cs="David"/>
          <w:sz w:val="24"/>
          <w:szCs w:val="24"/>
          <w:rtl/>
        </w:rPr>
      </w:pPr>
      <w:r w:rsidRPr="00254B33">
        <w:rPr>
          <w:rFonts w:cs="David" w:hint="cs"/>
          <w:sz w:val="24"/>
          <w:szCs w:val="24"/>
          <w:rtl/>
        </w:rPr>
        <w:t xml:space="preserve">לִתְנוּפָה, - הנפת הקרבן </w:t>
      </w:r>
    </w:p>
    <w:p w:rsidR="00254B33" w:rsidRPr="00254B33" w:rsidRDefault="00254B33" w:rsidP="00254B33">
      <w:pPr>
        <w:spacing w:line="360" w:lineRule="auto"/>
        <w:contextualSpacing/>
        <w:rPr>
          <w:rFonts w:cs="David"/>
          <w:sz w:val="24"/>
          <w:szCs w:val="24"/>
          <w:rtl/>
        </w:rPr>
      </w:pPr>
      <w:r w:rsidRPr="00254B33">
        <w:rPr>
          <w:rFonts w:cs="David" w:hint="cs"/>
          <w:sz w:val="24"/>
          <w:szCs w:val="24"/>
          <w:rtl/>
        </w:rPr>
        <w:t xml:space="preserve"> לְהַגָּשָׁה, -  הגשת הדם לזריקתו במזבח</w:t>
      </w:r>
    </w:p>
    <w:p w:rsidR="00254B33" w:rsidRPr="00254B33" w:rsidRDefault="00254B33" w:rsidP="00254B33">
      <w:pPr>
        <w:spacing w:line="360" w:lineRule="auto"/>
        <w:contextualSpacing/>
        <w:rPr>
          <w:rFonts w:cs="David"/>
          <w:sz w:val="24"/>
          <w:szCs w:val="24"/>
          <w:rtl/>
        </w:rPr>
      </w:pPr>
      <w:r w:rsidRPr="00254B33">
        <w:rPr>
          <w:rFonts w:cs="David" w:hint="cs"/>
          <w:sz w:val="24"/>
          <w:szCs w:val="24"/>
          <w:rtl/>
        </w:rPr>
        <w:t>לִקְמִיצָה  - קמיצת הסולת במנחה</w:t>
      </w:r>
    </w:p>
    <w:p w:rsidR="00254B33" w:rsidRPr="00254B33" w:rsidRDefault="00254B33" w:rsidP="00254B33">
      <w:pPr>
        <w:spacing w:line="360" w:lineRule="auto"/>
        <w:contextualSpacing/>
        <w:rPr>
          <w:rFonts w:cs="David"/>
          <w:sz w:val="24"/>
          <w:szCs w:val="24"/>
          <w:rtl/>
        </w:rPr>
      </w:pPr>
      <w:r w:rsidRPr="00254B33">
        <w:rPr>
          <w:rFonts w:cs="David" w:hint="cs"/>
          <w:sz w:val="24"/>
          <w:szCs w:val="24"/>
          <w:rtl/>
        </w:rPr>
        <w:t xml:space="preserve">לְהַקְטָרָה,- הקטרת הקרבנות ביום על המזבח </w:t>
      </w:r>
    </w:p>
    <w:p w:rsidR="00254B33" w:rsidRPr="00254B33" w:rsidRDefault="00254B33" w:rsidP="00254B33">
      <w:pPr>
        <w:spacing w:line="360" w:lineRule="auto"/>
        <w:contextualSpacing/>
        <w:rPr>
          <w:rFonts w:cs="David"/>
          <w:sz w:val="24"/>
          <w:szCs w:val="24"/>
          <w:rtl/>
        </w:rPr>
      </w:pPr>
      <w:r w:rsidRPr="00254B33">
        <w:rPr>
          <w:rFonts w:cs="David" w:hint="cs"/>
          <w:sz w:val="24"/>
          <w:szCs w:val="24"/>
          <w:rtl/>
        </w:rPr>
        <w:t>לִמְלִיקָה, - סוג של שחיטה בעוף על ידי הכהן</w:t>
      </w:r>
    </w:p>
    <w:p w:rsidR="00254B33" w:rsidRPr="00254B33" w:rsidRDefault="00254B33" w:rsidP="00254B33">
      <w:pPr>
        <w:spacing w:line="360" w:lineRule="auto"/>
        <w:contextualSpacing/>
        <w:rPr>
          <w:rFonts w:cs="David"/>
          <w:sz w:val="24"/>
          <w:szCs w:val="24"/>
          <w:rtl/>
        </w:rPr>
      </w:pPr>
      <w:r w:rsidRPr="00254B33">
        <w:rPr>
          <w:rFonts w:cs="David" w:hint="cs"/>
          <w:sz w:val="24"/>
          <w:szCs w:val="24"/>
          <w:rtl/>
        </w:rPr>
        <w:t xml:space="preserve"> וּלְקַבָּלָה, - קבלת הדם לזריקה במזבח </w:t>
      </w:r>
    </w:p>
    <w:p w:rsidR="00254B33" w:rsidRPr="00254B33" w:rsidRDefault="00254B33" w:rsidP="00254B33">
      <w:pPr>
        <w:spacing w:line="360" w:lineRule="auto"/>
        <w:contextualSpacing/>
        <w:rPr>
          <w:rFonts w:cs="David"/>
          <w:sz w:val="24"/>
          <w:szCs w:val="24"/>
          <w:rtl/>
        </w:rPr>
      </w:pPr>
      <w:r w:rsidRPr="00254B33">
        <w:rPr>
          <w:rFonts w:cs="David" w:hint="cs"/>
          <w:sz w:val="24"/>
          <w:szCs w:val="24"/>
          <w:rtl/>
        </w:rPr>
        <w:t>וּלְהַזָּי</w:t>
      </w:r>
      <w:proofErr w:type="spellStart"/>
      <w:r w:rsidRPr="00254B33">
        <w:rPr>
          <w:rFonts w:cs="David" w:hint="cs"/>
          <w:sz w:val="24"/>
          <w:szCs w:val="24"/>
          <w:rtl/>
        </w:rPr>
        <w:t>ָה,</w:t>
      </w:r>
      <w:proofErr w:type="spellEnd"/>
      <w:r w:rsidRPr="00254B33">
        <w:rPr>
          <w:rFonts w:cs="David" w:hint="cs"/>
          <w:sz w:val="24"/>
          <w:szCs w:val="24"/>
          <w:rtl/>
        </w:rPr>
        <w:t xml:space="preserve"> - הזאת מי פרה אדומה על הטמא</w:t>
      </w:r>
    </w:p>
    <w:p w:rsidR="00254B33" w:rsidRPr="00254B33" w:rsidRDefault="00254B33" w:rsidP="00254B33">
      <w:pPr>
        <w:spacing w:line="360" w:lineRule="auto"/>
        <w:contextualSpacing/>
        <w:rPr>
          <w:rFonts w:cs="David"/>
          <w:sz w:val="24"/>
          <w:szCs w:val="24"/>
          <w:rtl/>
        </w:rPr>
      </w:pPr>
      <w:proofErr w:type="spellStart"/>
      <w:r w:rsidRPr="00254B33">
        <w:rPr>
          <w:rFonts w:cs="David" w:hint="cs"/>
          <w:sz w:val="24"/>
          <w:szCs w:val="24"/>
          <w:rtl/>
        </w:rPr>
        <w:t>וּלְהַשְׁקָי</w:t>
      </w:r>
      <w:proofErr w:type="spellEnd"/>
      <w:r w:rsidRPr="00254B33">
        <w:rPr>
          <w:rFonts w:cs="David" w:hint="cs"/>
          <w:sz w:val="24"/>
          <w:szCs w:val="24"/>
          <w:rtl/>
        </w:rPr>
        <w:t xml:space="preserve">ַת סוֹטָה, - אישה שבעלה חושד בה </w:t>
      </w:r>
      <w:proofErr w:type="spellStart"/>
      <w:r w:rsidRPr="00254B33">
        <w:rPr>
          <w:rFonts w:cs="David" w:hint="cs"/>
          <w:sz w:val="24"/>
          <w:szCs w:val="24"/>
          <w:rtl/>
        </w:rPr>
        <w:t>שהיתה</w:t>
      </w:r>
      <w:proofErr w:type="spellEnd"/>
      <w:r w:rsidRPr="00254B33">
        <w:rPr>
          <w:rFonts w:cs="David" w:hint="cs"/>
          <w:sz w:val="24"/>
          <w:szCs w:val="24"/>
          <w:rtl/>
        </w:rPr>
        <w:t xml:space="preserve"> עם גבר אחר שותה מים קדושים </w:t>
      </w:r>
    </w:p>
    <w:p w:rsidR="00254B33" w:rsidRPr="00254B33" w:rsidRDefault="00254B33" w:rsidP="00254B33">
      <w:pPr>
        <w:spacing w:line="360" w:lineRule="auto"/>
        <w:contextualSpacing/>
        <w:rPr>
          <w:rFonts w:cs="David"/>
          <w:sz w:val="24"/>
          <w:szCs w:val="24"/>
          <w:rtl/>
        </w:rPr>
      </w:pPr>
      <w:r w:rsidRPr="00254B33">
        <w:rPr>
          <w:rFonts w:cs="David" w:hint="cs"/>
          <w:sz w:val="24"/>
          <w:szCs w:val="24"/>
          <w:rtl/>
        </w:rPr>
        <w:t xml:space="preserve">וְלַעֲרִיפַת הָעֶגְלָה,- אדם הנמצא מת , זקני העיר הקרובה אליו נשבעים שלא שפכו דם זה </w:t>
      </w:r>
    </w:p>
    <w:p w:rsidR="00254B33" w:rsidRPr="00254B33" w:rsidRDefault="00254B33" w:rsidP="00254B33">
      <w:pPr>
        <w:spacing w:line="360" w:lineRule="auto"/>
        <w:contextualSpacing/>
        <w:rPr>
          <w:rFonts w:cs="David"/>
          <w:sz w:val="24"/>
          <w:szCs w:val="24"/>
          <w:rtl/>
        </w:rPr>
      </w:pPr>
      <w:r w:rsidRPr="00254B33">
        <w:rPr>
          <w:rFonts w:cs="David" w:hint="cs"/>
          <w:sz w:val="24"/>
          <w:szCs w:val="24"/>
          <w:rtl/>
        </w:rPr>
        <w:t xml:space="preserve"> וּלְטָהֳרַת </w:t>
      </w:r>
      <w:proofErr w:type="spellStart"/>
      <w:r w:rsidRPr="00254B33">
        <w:rPr>
          <w:rFonts w:cs="David" w:hint="cs"/>
          <w:sz w:val="24"/>
          <w:szCs w:val="24"/>
          <w:rtl/>
        </w:rPr>
        <w:t>הַמְּצֹר</w:t>
      </w:r>
      <w:proofErr w:type="spellEnd"/>
      <w:r w:rsidRPr="00254B33">
        <w:rPr>
          <w:rFonts w:cs="David" w:hint="cs"/>
          <w:sz w:val="24"/>
          <w:szCs w:val="24"/>
          <w:rtl/>
        </w:rPr>
        <w:t>ָע</w:t>
      </w:r>
      <w:r w:rsidRPr="00254B33">
        <w:rPr>
          <w:rFonts w:cs="David" w:hint="cs"/>
          <w:sz w:val="24"/>
          <w:szCs w:val="24"/>
        </w:rPr>
        <w:t> .</w:t>
      </w:r>
      <w:r w:rsidRPr="00254B33">
        <w:rPr>
          <w:rFonts w:cs="David" w:hint="cs"/>
          <w:sz w:val="24"/>
          <w:szCs w:val="24"/>
          <w:rtl/>
        </w:rPr>
        <w:t>- המצורע נטהר מצרעתו לאחר תהליך שעושה וטהרתו נקבעת ביום</w:t>
      </w:r>
    </w:p>
    <w:p w:rsidR="00254B33" w:rsidRPr="00254B33" w:rsidRDefault="00254B33" w:rsidP="00254B33">
      <w:pPr>
        <w:spacing w:line="360" w:lineRule="auto"/>
        <w:contextualSpacing/>
        <w:rPr>
          <w:rFonts w:cs="David"/>
        </w:rPr>
      </w:pPr>
    </w:p>
    <w:sectPr w:rsidR="00254B33" w:rsidRPr="00254B33" w:rsidSect="00D3298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41" w:rsidRDefault="00A61D41" w:rsidP="007106B5">
      <w:pPr>
        <w:spacing w:after="0" w:line="240" w:lineRule="auto"/>
      </w:pPr>
      <w:r>
        <w:separator/>
      </w:r>
    </w:p>
  </w:endnote>
  <w:endnote w:type="continuationSeparator" w:id="0">
    <w:p w:rsidR="00A61D41" w:rsidRDefault="00A61D41"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41" w:rsidRDefault="00A61D41" w:rsidP="007106B5">
      <w:pPr>
        <w:spacing w:after="0" w:line="240" w:lineRule="auto"/>
      </w:pPr>
      <w:r>
        <w:separator/>
      </w:r>
    </w:p>
  </w:footnote>
  <w:footnote w:type="continuationSeparator" w:id="0">
    <w:p w:rsidR="00A61D41" w:rsidRDefault="00A61D41"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106B5"/>
    <w:rsid w:val="00254B33"/>
    <w:rsid w:val="00346EE3"/>
    <w:rsid w:val="007106B5"/>
    <w:rsid w:val="00A61D41"/>
    <w:rsid w:val="00D32986"/>
    <w:rsid w:val="00D62840"/>
    <w:rsid w:val="00FA4FF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EE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1207</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2015-04-13T09:43:00Z</dcterms:created>
  <dcterms:modified xsi:type="dcterms:W3CDTF">2015-04-13T09:43:00Z</dcterms:modified>
</cp:coreProperties>
</file>